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DFAF5A" w14:textId="77777777" w:rsidR="001A5841" w:rsidRPr="00227F90" w:rsidRDefault="001A5841">
      <w:pPr>
        <w:rPr>
          <w:rFonts w:ascii="Arial" w:hAnsi="Arial" w:cs="Arial"/>
        </w:rPr>
      </w:pPr>
      <w:r w:rsidRPr="00227F90">
        <w:rPr>
          <w:rFonts w:ascii="Arial" w:hAnsi="Arial" w:cs="Arial"/>
          <w:noProof/>
          <w:lang w:eastAsia="en-GB"/>
        </w:rPr>
        <w:drawing>
          <wp:anchor distT="0" distB="0" distL="114300" distR="114300" simplePos="0" relativeHeight="251658240" behindDoc="1" locked="0" layoutInCell="1" allowOverlap="1" wp14:anchorId="19161A0F" wp14:editId="7FF27914">
            <wp:simplePos x="0" y="0"/>
            <wp:positionH relativeFrom="column">
              <wp:posOffset>-946481</wp:posOffset>
            </wp:positionH>
            <wp:positionV relativeFrom="paragraph">
              <wp:posOffset>-589280</wp:posOffset>
            </wp:positionV>
            <wp:extent cx="2054225" cy="90424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RIVE-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54225" cy="904240"/>
                    </a:xfrm>
                    <a:prstGeom prst="rect">
                      <a:avLst/>
                    </a:prstGeom>
                  </pic:spPr>
                </pic:pic>
              </a:graphicData>
            </a:graphic>
            <wp14:sizeRelH relativeFrom="page">
              <wp14:pctWidth>0</wp14:pctWidth>
            </wp14:sizeRelH>
            <wp14:sizeRelV relativeFrom="page">
              <wp14:pctHeight>0</wp14:pctHeight>
            </wp14:sizeRelV>
          </wp:anchor>
        </w:drawing>
      </w:r>
    </w:p>
    <w:p w14:paraId="69570555" w14:textId="77777777" w:rsidR="00450565" w:rsidRPr="00227F90" w:rsidRDefault="00450565" w:rsidP="001A5841">
      <w:pPr>
        <w:autoSpaceDE w:val="0"/>
        <w:autoSpaceDN w:val="0"/>
        <w:adjustRightInd w:val="0"/>
        <w:spacing w:before="60" w:after="60" w:line="240" w:lineRule="auto"/>
        <w:rPr>
          <w:rFonts w:ascii="Arial" w:hAnsi="Arial" w:cs="Arial"/>
          <w:sz w:val="16"/>
          <w:szCs w:val="36"/>
        </w:rPr>
      </w:pPr>
    </w:p>
    <w:p w14:paraId="4A746E76" w14:textId="77777777" w:rsidR="001A5841" w:rsidRPr="00227F90" w:rsidRDefault="001A5841" w:rsidP="001A5841">
      <w:pPr>
        <w:autoSpaceDE w:val="0"/>
        <w:autoSpaceDN w:val="0"/>
        <w:adjustRightInd w:val="0"/>
        <w:spacing w:before="60" w:after="60" w:line="240" w:lineRule="auto"/>
        <w:rPr>
          <w:rFonts w:ascii="Arial" w:hAnsi="Arial" w:cs="Arial"/>
          <w:sz w:val="36"/>
          <w:szCs w:val="36"/>
        </w:rPr>
      </w:pPr>
      <w:r w:rsidRPr="00227F90">
        <w:rPr>
          <w:rFonts w:ascii="Arial" w:hAnsi="Arial" w:cs="Arial"/>
          <w:sz w:val="36"/>
          <w:szCs w:val="36"/>
        </w:rPr>
        <w:t>The ARRIVE Guidelines Checklist</w:t>
      </w:r>
    </w:p>
    <w:p w14:paraId="6FBE83E0" w14:textId="77777777" w:rsidR="001A5841" w:rsidRPr="00227F90" w:rsidRDefault="001A5841" w:rsidP="001A5841">
      <w:pPr>
        <w:autoSpaceDE w:val="0"/>
        <w:autoSpaceDN w:val="0"/>
        <w:adjustRightInd w:val="0"/>
        <w:spacing w:before="60" w:after="60" w:line="240" w:lineRule="auto"/>
        <w:rPr>
          <w:rFonts w:ascii="Arial" w:hAnsi="Arial" w:cs="Arial"/>
          <w:sz w:val="28"/>
          <w:szCs w:val="28"/>
        </w:rPr>
      </w:pPr>
      <w:r w:rsidRPr="00227F90">
        <w:rPr>
          <w:rFonts w:ascii="Arial" w:hAnsi="Arial" w:cs="Arial"/>
          <w:sz w:val="28"/>
          <w:szCs w:val="28"/>
        </w:rPr>
        <w:t>Animal Research: Reporting In Vivo Experiments</w:t>
      </w:r>
    </w:p>
    <w:p w14:paraId="7AD60E80" w14:textId="77777777" w:rsidR="001A5841" w:rsidRPr="00227F90" w:rsidRDefault="001A5841" w:rsidP="001A5841">
      <w:pPr>
        <w:autoSpaceDE w:val="0"/>
        <w:autoSpaceDN w:val="0"/>
        <w:adjustRightInd w:val="0"/>
        <w:spacing w:before="60" w:after="60" w:line="240" w:lineRule="auto"/>
        <w:rPr>
          <w:rFonts w:ascii="Arial" w:hAnsi="Arial" w:cs="Arial"/>
          <w:i/>
          <w:iCs/>
          <w:sz w:val="20"/>
          <w:szCs w:val="20"/>
        </w:rPr>
      </w:pPr>
      <w:r w:rsidRPr="00227F90">
        <w:rPr>
          <w:rFonts w:ascii="Arial" w:hAnsi="Arial" w:cs="Arial"/>
          <w:sz w:val="20"/>
          <w:szCs w:val="20"/>
        </w:rPr>
        <w:t>Carol Kilkenny</w:t>
      </w:r>
      <w:r w:rsidRPr="00227F90">
        <w:rPr>
          <w:rFonts w:ascii="Arial" w:hAnsi="Arial" w:cs="Arial"/>
          <w:sz w:val="20"/>
          <w:szCs w:val="20"/>
          <w:vertAlign w:val="superscript"/>
        </w:rPr>
        <w:t>1</w:t>
      </w:r>
      <w:r w:rsidRPr="00227F90">
        <w:rPr>
          <w:rFonts w:ascii="Arial" w:hAnsi="Arial" w:cs="Arial"/>
          <w:sz w:val="20"/>
          <w:szCs w:val="20"/>
        </w:rPr>
        <w:t>, William J Browne</w:t>
      </w:r>
      <w:r w:rsidRPr="00227F90">
        <w:rPr>
          <w:rFonts w:ascii="Arial" w:hAnsi="Arial" w:cs="Arial"/>
          <w:sz w:val="20"/>
          <w:szCs w:val="20"/>
          <w:vertAlign w:val="superscript"/>
        </w:rPr>
        <w:t>2</w:t>
      </w:r>
      <w:r w:rsidRPr="00227F90">
        <w:rPr>
          <w:rFonts w:ascii="Arial" w:hAnsi="Arial" w:cs="Arial"/>
          <w:sz w:val="20"/>
          <w:szCs w:val="20"/>
        </w:rPr>
        <w:t>, Innes C Cuthill</w:t>
      </w:r>
      <w:r w:rsidRPr="00227F90">
        <w:rPr>
          <w:rFonts w:ascii="Arial" w:hAnsi="Arial" w:cs="Arial"/>
          <w:sz w:val="20"/>
          <w:szCs w:val="20"/>
          <w:vertAlign w:val="superscript"/>
        </w:rPr>
        <w:t>3</w:t>
      </w:r>
      <w:r w:rsidRPr="00227F90">
        <w:rPr>
          <w:rFonts w:ascii="Arial" w:hAnsi="Arial" w:cs="Arial"/>
          <w:sz w:val="20"/>
          <w:szCs w:val="20"/>
        </w:rPr>
        <w:t>, Michael Emerson</w:t>
      </w:r>
      <w:r w:rsidRPr="00227F90">
        <w:rPr>
          <w:rFonts w:ascii="Arial" w:hAnsi="Arial" w:cs="Arial"/>
          <w:sz w:val="20"/>
          <w:szCs w:val="20"/>
          <w:vertAlign w:val="superscript"/>
        </w:rPr>
        <w:t>4</w:t>
      </w:r>
      <w:r w:rsidRPr="00227F90">
        <w:rPr>
          <w:rFonts w:ascii="Arial" w:hAnsi="Arial" w:cs="Arial"/>
          <w:sz w:val="20"/>
          <w:szCs w:val="20"/>
        </w:rPr>
        <w:t xml:space="preserve"> and Douglas G Altman</w:t>
      </w:r>
      <w:r w:rsidRPr="00227F90">
        <w:rPr>
          <w:rFonts w:ascii="Arial" w:hAnsi="Arial" w:cs="Arial"/>
          <w:sz w:val="20"/>
          <w:szCs w:val="20"/>
          <w:vertAlign w:val="superscript"/>
        </w:rPr>
        <w:t>5</w:t>
      </w:r>
    </w:p>
    <w:p w14:paraId="00F73486" w14:textId="77777777" w:rsidR="001A5841" w:rsidRPr="00227F90" w:rsidRDefault="001A5841" w:rsidP="001A5841">
      <w:pPr>
        <w:autoSpaceDE w:val="0"/>
        <w:autoSpaceDN w:val="0"/>
        <w:adjustRightInd w:val="0"/>
        <w:spacing w:before="60" w:after="60" w:line="240" w:lineRule="auto"/>
        <w:rPr>
          <w:rFonts w:ascii="Arial" w:hAnsi="Arial" w:cs="Arial"/>
          <w:i/>
          <w:iCs/>
          <w:sz w:val="16"/>
          <w:szCs w:val="16"/>
        </w:rPr>
      </w:pPr>
      <w:r w:rsidRPr="00227F90">
        <w:rPr>
          <w:rFonts w:ascii="Arial" w:hAnsi="Arial" w:cs="Arial"/>
          <w:i/>
          <w:iCs/>
          <w:sz w:val="16"/>
          <w:szCs w:val="16"/>
          <w:vertAlign w:val="superscript"/>
        </w:rPr>
        <w:t>1</w:t>
      </w:r>
      <w:r w:rsidRPr="00227F90">
        <w:rPr>
          <w:rFonts w:ascii="Arial" w:hAnsi="Arial" w:cs="Arial"/>
          <w:i/>
          <w:iCs/>
          <w:sz w:val="16"/>
          <w:szCs w:val="16"/>
        </w:rPr>
        <w:t xml:space="preserve">The National Centre for the Replacement, Refinement and Reduction of Animals in Research, London, UK, </w:t>
      </w:r>
      <w:r w:rsidRPr="00227F90">
        <w:rPr>
          <w:rFonts w:ascii="Arial" w:hAnsi="Arial" w:cs="Arial"/>
          <w:i/>
          <w:iCs/>
          <w:sz w:val="16"/>
          <w:szCs w:val="16"/>
          <w:vertAlign w:val="superscript"/>
        </w:rPr>
        <w:t>2</w:t>
      </w:r>
      <w:r w:rsidRPr="00227F90">
        <w:rPr>
          <w:rFonts w:ascii="Arial" w:hAnsi="Arial" w:cs="Arial"/>
          <w:i/>
          <w:iCs/>
          <w:sz w:val="16"/>
          <w:szCs w:val="16"/>
        </w:rPr>
        <w:t xml:space="preserve">School of Veterinary Science, University of Bristol, Bristol, UK, </w:t>
      </w:r>
      <w:r w:rsidRPr="00227F90">
        <w:rPr>
          <w:rFonts w:ascii="Arial" w:hAnsi="Arial" w:cs="Arial"/>
          <w:i/>
          <w:iCs/>
          <w:sz w:val="16"/>
          <w:szCs w:val="16"/>
          <w:vertAlign w:val="superscript"/>
        </w:rPr>
        <w:t>3</w:t>
      </w:r>
      <w:r w:rsidRPr="00227F90">
        <w:rPr>
          <w:rFonts w:ascii="Arial" w:hAnsi="Arial" w:cs="Arial"/>
          <w:i/>
          <w:iCs/>
          <w:sz w:val="16"/>
          <w:szCs w:val="16"/>
        </w:rPr>
        <w:t xml:space="preserve">School of Biological Sciences, University of Bristol, Bristol, UK, </w:t>
      </w:r>
      <w:r w:rsidRPr="00227F90">
        <w:rPr>
          <w:rFonts w:ascii="Arial" w:hAnsi="Arial" w:cs="Arial"/>
          <w:i/>
          <w:iCs/>
          <w:sz w:val="16"/>
          <w:szCs w:val="16"/>
          <w:vertAlign w:val="superscript"/>
        </w:rPr>
        <w:t>4</w:t>
      </w:r>
      <w:r w:rsidRPr="00227F90">
        <w:rPr>
          <w:rFonts w:ascii="Arial" w:hAnsi="Arial" w:cs="Arial"/>
          <w:i/>
          <w:iCs/>
          <w:sz w:val="16"/>
          <w:szCs w:val="16"/>
        </w:rPr>
        <w:t xml:space="preserve">National Heart and Lung Institute, Imperial College London, UK, </w:t>
      </w:r>
      <w:r w:rsidRPr="00227F90">
        <w:rPr>
          <w:rFonts w:ascii="Arial" w:hAnsi="Arial" w:cs="Arial"/>
          <w:i/>
          <w:iCs/>
          <w:sz w:val="16"/>
          <w:szCs w:val="16"/>
          <w:vertAlign w:val="superscript"/>
        </w:rPr>
        <w:t>5</w:t>
      </w:r>
      <w:r w:rsidRPr="00227F90">
        <w:rPr>
          <w:rFonts w:ascii="Arial" w:hAnsi="Arial" w:cs="Arial"/>
          <w:i/>
          <w:iCs/>
          <w:sz w:val="16"/>
          <w:szCs w:val="16"/>
        </w:rPr>
        <w:t>Centre for Statistics in Medicine, University of Oxford, Oxford, UK.</w:t>
      </w:r>
    </w:p>
    <w:p w14:paraId="26A69B13" w14:textId="77777777" w:rsidR="001A5841" w:rsidRPr="00227F90" w:rsidRDefault="001A5841" w:rsidP="001A5841">
      <w:pPr>
        <w:autoSpaceDE w:val="0"/>
        <w:autoSpaceDN w:val="0"/>
        <w:adjustRightInd w:val="0"/>
        <w:spacing w:after="0" w:line="240" w:lineRule="auto"/>
        <w:rPr>
          <w:rFonts w:ascii="Arial" w:hAnsi="Arial" w:cs="Arial"/>
          <w:i/>
          <w:iCs/>
          <w:sz w:val="16"/>
          <w:szCs w:val="16"/>
        </w:rPr>
      </w:pPr>
    </w:p>
    <w:tbl>
      <w:tblPr>
        <w:tblStyle w:val="TableGrid"/>
        <w:tblW w:w="10440" w:type="dxa"/>
        <w:tblInd w:w="-72"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1740"/>
        <w:gridCol w:w="708"/>
        <w:gridCol w:w="6462"/>
        <w:gridCol w:w="1530"/>
      </w:tblGrid>
      <w:tr w:rsidR="00DB23D3" w:rsidRPr="00227F90" w14:paraId="2D986B70" w14:textId="77777777" w:rsidTr="00EE683C">
        <w:tc>
          <w:tcPr>
            <w:tcW w:w="1740" w:type="dxa"/>
            <w:tcBorders>
              <w:top w:val="single" w:sz="4" w:space="0" w:color="454443"/>
              <w:left w:val="single" w:sz="4" w:space="0" w:color="454443"/>
              <w:bottom w:val="single" w:sz="4" w:space="0" w:color="454443"/>
              <w:right w:val="single" w:sz="4" w:space="0" w:color="454443"/>
            </w:tcBorders>
            <w:shd w:val="clear" w:color="auto" w:fill="454443"/>
            <w:vAlign w:val="center"/>
          </w:tcPr>
          <w:p w14:paraId="6097E9B0" w14:textId="77777777" w:rsidR="001A5841" w:rsidRPr="00227F90" w:rsidRDefault="001A5841" w:rsidP="00214F3D">
            <w:pPr>
              <w:autoSpaceDE w:val="0"/>
              <w:autoSpaceDN w:val="0"/>
              <w:adjustRightInd w:val="0"/>
              <w:spacing w:before="60" w:after="60"/>
              <w:jc w:val="center"/>
              <w:rPr>
                <w:rFonts w:ascii="Arial" w:hAnsi="Arial" w:cs="Arial"/>
                <w:color w:val="FFFFFF" w:themeColor="background1"/>
                <w:sz w:val="18"/>
                <w:szCs w:val="18"/>
              </w:rPr>
            </w:pPr>
          </w:p>
        </w:tc>
        <w:tc>
          <w:tcPr>
            <w:tcW w:w="708" w:type="dxa"/>
            <w:tcBorders>
              <w:top w:val="single" w:sz="4" w:space="0" w:color="454443"/>
              <w:left w:val="single" w:sz="4" w:space="0" w:color="454443"/>
              <w:bottom w:val="single" w:sz="4" w:space="0" w:color="454443"/>
              <w:right w:val="single" w:sz="4" w:space="0" w:color="454443"/>
            </w:tcBorders>
            <w:shd w:val="clear" w:color="auto" w:fill="454443"/>
            <w:vAlign w:val="center"/>
          </w:tcPr>
          <w:p w14:paraId="3EECFCB6" w14:textId="77777777"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ITEM</w:t>
            </w:r>
          </w:p>
        </w:tc>
        <w:tc>
          <w:tcPr>
            <w:tcW w:w="6462" w:type="dxa"/>
            <w:tcBorders>
              <w:top w:val="single" w:sz="4" w:space="0" w:color="454443"/>
              <w:left w:val="single" w:sz="4" w:space="0" w:color="454443"/>
              <w:bottom w:val="single" w:sz="4" w:space="0" w:color="454443"/>
              <w:right w:val="single" w:sz="4" w:space="0" w:color="454443"/>
            </w:tcBorders>
            <w:shd w:val="clear" w:color="auto" w:fill="454443"/>
            <w:vAlign w:val="center"/>
          </w:tcPr>
          <w:p w14:paraId="24A7A657" w14:textId="77777777"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RECOMMENDATION</w:t>
            </w:r>
          </w:p>
        </w:tc>
        <w:tc>
          <w:tcPr>
            <w:tcW w:w="1530" w:type="dxa"/>
            <w:tcBorders>
              <w:top w:val="single" w:sz="4" w:space="0" w:color="454443"/>
              <w:left w:val="single" w:sz="4" w:space="0" w:color="454443"/>
              <w:bottom w:val="single" w:sz="4" w:space="0" w:color="454443"/>
              <w:right w:val="single" w:sz="4" w:space="0" w:color="454443"/>
            </w:tcBorders>
            <w:shd w:val="clear" w:color="auto" w:fill="454443"/>
            <w:vAlign w:val="center"/>
          </w:tcPr>
          <w:p w14:paraId="4EA51160" w14:textId="77777777" w:rsidR="001A5841" w:rsidRPr="00227F90" w:rsidRDefault="001A5841" w:rsidP="00214F3D">
            <w:pPr>
              <w:autoSpaceDE w:val="0"/>
              <w:autoSpaceDN w:val="0"/>
              <w:adjustRightInd w:val="0"/>
              <w:spacing w:before="60" w:after="60"/>
              <w:rPr>
                <w:rFonts w:ascii="Arial" w:hAnsi="Arial" w:cs="Arial"/>
                <w:color w:val="FFFFFF" w:themeColor="background1"/>
                <w:sz w:val="16"/>
                <w:szCs w:val="18"/>
              </w:rPr>
            </w:pPr>
            <w:r w:rsidRPr="00227F90">
              <w:rPr>
                <w:rFonts w:ascii="Arial" w:hAnsi="Arial" w:cs="Arial"/>
                <w:color w:val="FFFFFF" w:themeColor="background1"/>
                <w:sz w:val="16"/>
                <w:szCs w:val="18"/>
              </w:rPr>
              <w:t>Section/</w:t>
            </w:r>
            <w:r w:rsidRPr="00227F90">
              <w:rPr>
                <w:rFonts w:ascii="Arial" w:hAnsi="Arial" w:cs="Arial"/>
                <w:color w:val="FFFFFF" w:themeColor="background1"/>
                <w:sz w:val="16"/>
                <w:szCs w:val="18"/>
              </w:rPr>
              <w:br/>
              <w:t>Paragraph</w:t>
            </w:r>
          </w:p>
        </w:tc>
      </w:tr>
      <w:tr w:rsidR="00E840DC" w:rsidRPr="00227F90" w14:paraId="4E6E78D6" w14:textId="77777777" w:rsidTr="00EE683C">
        <w:tc>
          <w:tcPr>
            <w:tcW w:w="8910" w:type="dxa"/>
            <w:gridSpan w:val="3"/>
            <w:tcBorders>
              <w:top w:val="single" w:sz="4" w:space="0" w:color="454443"/>
              <w:bottom w:val="single" w:sz="8" w:space="0" w:color="454443"/>
              <w:right w:val="single" w:sz="8" w:space="0" w:color="454443"/>
            </w:tcBorders>
          </w:tcPr>
          <w:p w14:paraId="0256CF51" w14:textId="77777777" w:rsidR="009A7B41" w:rsidRDefault="00FC05DF" w:rsidP="008539EF">
            <w:pPr>
              <w:rPr>
                <w:rFonts w:ascii="Arial" w:hAnsi="Arial" w:cs="Arial"/>
                <w:sz w:val="18"/>
                <w:szCs w:val="18"/>
              </w:rPr>
            </w:pPr>
            <w:r w:rsidRPr="00454C23">
              <w:rPr>
                <w:rFonts w:ascii="Arial" w:hAnsi="Arial" w:cs="Arial"/>
                <w:b/>
                <w:bCs/>
                <w:sz w:val="18"/>
                <w:szCs w:val="18"/>
              </w:rPr>
              <w:t>Title                             1</w:t>
            </w:r>
            <w:r>
              <w:rPr>
                <w:rFonts w:ascii="Arial" w:hAnsi="Arial" w:cs="Arial"/>
                <w:sz w:val="18"/>
                <w:szCs w:val="18"/>
              </w:rPr>
              <w:t xml:space="preserve">           </w:t>
            </w:r>
            <w:r w:rsidR="008539EF">
              <w:rPr>
                <w:rFonts w:ascii="Arial" w:hAnsi="Arial" w:cs="Arial"/>
                <w:sz w:val="18"/>
                <w:szCs w:val="18"/>
              </w:rPr>
              <w:t xml:space="preserve">Investigating the effect of Ultra-low dose naloxone on spinal BDNF and  </w:t>
            </w:r>
          </w:p>
          <w:p w14:paraId="1EF02D95" w14:textId="2FFEC3F7" w:rsidR="008539EF" w:rsidRPr="00D15C06" w:rsidRDefault="009A7B41" w:rsidP="008539EF">
            <w:pPr>
              <w:rPr>
                <w:rFonts w:asciiTheme="majorBidi" w:hAnsiTheme="majorBidi" w:cstheme="majorBidi"/>
                <w:color w:val="222222"/>
                <w:sz w:val="20"/>
                <w:szCs w:val="20"/>
              </w:rPr>
            </w:pPr>
            <w:r>
              <w:rPr>
                <w:rFonts w:ascii="Arial" w:hAnsi="Arial" w:cs="Arial"/>
                <w:sz w:val="18"/>
                <w:szCs w:val="18"/>
              </w:rPr>
              <w:t xml:space="preserve">                                  </w:t>
            </w:r>
            <w:r w:rsidR="008539EF">
              <w:rPr>
                <w:rFonts w:ascii="Arial" w:hAnsi="Arial" w:cs="Arial"/>
                <w:sz w:val="18"/>
                <w:szCs w:val="18"/>
              </w:rPr>
              <w:t xml:space="preserve">               KCC2</w:t>
            </w:r>
            <w:r w:rsidR="00FC05DF">
              <w:rPr>
                <w:rFonts w:ascii="Arial" w:hAnsi="Arial" w:cs="Arial"/>
                <w:sz w:val="18"/>
                <w:szCs w:val="18"/>
              </w:rPr>
              <w:t xml:space="preserve"> </w:t>
            </w:r>
            <w:r w:rsidR="008539EF">
              <w:rPr>
                <w:rFonts w:ascii="Arial" w:hAnsi="Arial" w:cs="Arial"/>
                <w:sz w:val="18"/>
                <w:szCs w:val="18"/>
              </w:rPr>
              <w:t>cotransporter in morphine tolerant and hyperalgesia rats</w:t>
            </w:r>
          </w:p>
          <w:p w14:paraId="6F6100A4" w14:textId="77777777" w:rsidR="008539EF" w:rsidRPr="00D15C06" w:rsidRDefault="008539EF" w:rsidP="008539EF">
            <w:pPr>
              <w:rPr>
                <w:sz w:val="20"/>
                <w:szCs w:val="20"/>
              </w:rPr>
            </w:pPr>
            <w:r w:rsidRPr="00D15C06">
              <w:rPr>
                <w:rFonts w:asciiTheme="minorBidi" w:hAnsiTheme="minorBidi"/>
                <w:color w:val="222222"/>
                <w:sz w:val="20"/>
                <w:szCs w:val="20"/>
              </w:rPr>
              <w:t xml:space="preserve">               </w:t>
            </w:r>
          </w:p>
          <w:p w14:paraId="4B5E802D" w14:textId="77627894" w:rsidR="00E840DC" w:rsidRPr="00227F90" w:rsidRDefault="00E840DC" w:rsidP="008539EF">
            <w:pPr>
              <w:spacing w:line="480" w:lineRule="auto"/>
              <w:rPr>
                <w:rFonts w:ascii="Arial" w:hAnsi="Arial" w:cs="Arial"/>
                <w:sz w:val="18"/>
                <w:szCs w:val="18"/>
              </w:rPr>
            </w:pPr>
          </w:p>
        </w:tc>
        <w:tc>
          <w:tcPr>
            <w:tcW w:w="1530" w:type="dxa"/>
            <w:tcBorders>
              <w:top w:val="single" w:sz="4" w:space="0" w:color="454443"/>
              <w:left w:val="single" w:sz="8" w:space="0" w:color="454443"/>
              <w:bottom w:val="single" w:sz="8" w:space="0" w:color="454443"/>
            </w:tcBorders>
          </w:tcPr>
          <w:p w14:paraId="03682C0C" w14:textId="0EA522A3" w:rsidR="00E840DC" w:rsidRPr="00227F90" w:rsidRDefault="008539EF" w:rsidP="00214F3D">
            <w:pPr>
              <w:autoSpaceDE w:val="0"/>
              <w:autoSpaceDN w:val="0"/>
              <w:adjustRightInd w:val="0"/>
              <w:spacing w:before="60" w:after="60"/>
              <w:rPr>
                <w:rFonts w:ascii="Arial" w:hAnsi="Arial" w:cs="Arial"/>
                <w:sz w:val="18"/>
                <w:szCs w:val="18"/>
              </w:rPr>
            </w:pPr>
            <w:r>
              <w:rPr>
                <w:rFonts w:ascii="Arial" w:hAnsi="Arial" w:cs="Arial"/>
                <w:sz w:val="18"/>
                <w:szCs w:val="18"/>
              </w:rPr>
              <w:t>Title</w:t>
            </w:r>
          </w:p>
        </w:tc>
      </w:tr>
      <w:tr w:rsidR="00E840DC" w:rsidRPr="00227F90" w14:paraId="448A4EBF" w14:textId="77777777" w:rsidTr="00EE683C">
        <w:tc>
          <w:tcPr>
            <w:tcW w:w="8910" w:type="dxa"/>
            <w:gridSpan w:val="3"/>
            <w:tcBorders>
              <w:top w:val="single" w:sz="8" w:space="0" w:color="454443"/>
              <w:bottom w:val="single" w:sz="8" w:space="0" w:color="921F49"/>
              <w:right w:val="single" w:sz="8" w:space="0" w:color="454443"/>
            </w:tcBorders>
          </w:tcPr>
          <w:p w14:paraId="1D7647A7" w14:textId="3A2BCD99" w:rsidR="000F1408" w:rsidRPr="00954D5E" w:rsidRDefault="009A7B41" w:rsidP="00954D5E">
            <w:pPr>
              <w:autoSpaceDE w:val="0"/>
              <w:autoSpaceDN w:val="0"/>
              <w:adjustRightInd w:val="0"/>
              <w:rPr>
                <w:rFonts w:ascii="Arial" w:hAnsi="Arial" w:cs="Arial"/>
                <w:noProof/>
                <w:sz w:val="18"/>
                <w:szCs w:val="18"/>
                <w:lang w:eastAsia="en-GB"/>
              </w:rPr>
            </w:pPr>
            <w:r w:rsidRPr="00454C23">
              <w:rPr>
                <w:rFonts w:ascii="Arial" w:hAnsi="Arial" w:cs="Arial"/>
                <w:b/>
                <w:bCs/>
                <w:noProof/>
                <w:sz w:val="18"/>
                <w:szCs w:val="18"/>
                <w:lang w:eastAsia="en-GB"/>
              </w:rPr>
              <w:t xml:space="preserve">Abstract  </w:t>
            </w:r>
            <w:r w:rsidR="000F1408" w:rsidRPr="00454C23">
              <w:rPr>
                <w:rFonts w:ascii="Arial" w:hAnsi="Arial" w:cs="Arial"/>
                <w:b/>
                <w:bCs/>
                <w:noProof/>
                <w:sz w:val="18"/>
                <w:szCs w:val="18"/>
                <w:lang w:eastAsia="en-GB"/>
              </w:rPr>
              <w:t xml:space="preserve">                    </w:t>
            </w:r>
            <w:r w:rsidRPr="00454C23">
              <w:rPr>
                <w:rFonts w:ascii="Arial" w:hAnsi="Arial" w:cs="Arial"/>
                <w:b/>
                <w:bCs/>
                <w:noProof/>
                <w:sz w:val="18"/>
                <w:szCs w:val="18"/>
                <w:lang w:eastAsia="en-GB"/>
              </w:rPr>
              <w:t xml:space="preserve"> 2</w:t>
            </w:r>
            <w:r>
              <w:rPr>
                <w:rFonts w:ascii="Arial" w:hAnsi="Arial" w:cs="Arial"/>
                <w:noProof/>
                <w:sz w:val="18"/>
                <w:szCs w:val="18"/>
                <w:lang w:eastAsia="en-GB"/>
              </w:rPr>
              <w:t xml:space="preserve">       </w:t>
            </w:r>
            <w:r w:rsidR="000F1408">
              <w:rPr>
                <w:rFonts w:ascii="Arial" w:hAnsi="Arial" w:cs="Arial"/>
                <w:noProof/>
                <w:sz w:val="18"/>
                <w:szCs w:val="18"/>
                <w:lang w:eastAsia="en-GB"/>
              </w:rPr>
              <w:t xml:space="preserve">  </w:t>
            </w:r>
            <w:r w:rsidR="000F1408">
              <w:rPr>
                <w:rFonts w:asciiTheme="minorBidi" w:eastAsia="Times New Roman" w:hAnsiTheme="minorBidi"/>
                <w:b/>
                <w:bCs/>
                <w:color w:val="1C1E29"/>
                <w:sz w:val="18"/>
                <w:szCs w:val="18"/>
              </w:rPr>
              <w:t xml:space="preserve"> </w:t>
            </w:r>
            <w:r w:rsidR="000F1408" w:rsidRPr="000F1408">
              <w:rPr>
                <w:rFonts w:asciiTheme="minorBidi" w:eastAsia="Times New Roman" w:hAnsiTheme="minorBidi"/>
                <w:b/>
                <w:bCs/>
                <w:color w:val="1C1E29"/>
                <w:sz w:val="18"/>
                <w:szCs w:val="18"/>
              </w:rPr>
              <w:t>Background</w:t>
            </w:r>
            <w:r w:rsidR="000F1408" w:rsidRPr="000F1408">
              <w:rPr>
                <w:rFonts w:asciiTheme="minorBidi" w:eastAsia="Times New Roman" w:hAnsiTheme="minorBidi"/>
                <w:color w:val="1C1E29"/>
                <w:sz w:val="18"/>
                <w:szCs w:val="18"/>
              </w:rPr>
              <w:t>: Chronic opioids administration can lead to several</w:t>
            </w:r>
            <w:r w:rsidR="00954D5E">
              <w:rPr>
                <w:rFonts w:asciiTheme="minorBidi" w:eastAsia="Times New Roman" w:hAnsiTheme="minorBidi"/>
                <w:color w:val="1C1E29"/>
                <w:sz w:val="18"/>
                <w:szCs w:val="18"/>
              </w:rPr>
              <w:t xml:space="preserve"> </w:t>
            </w:r>
            <w:r w:rsidR="000F1408" w:rsidRPr="000F1408">
              <w:rPr>
                <w:rFonts w:asciiTheme="minorBidi" w:eastAsia="Times New Roman" w:hAnsiTheme="minorBidi"/>
                <w:color w:val="1C1E29"/>
                <w:sz w:val="18"/>
                <w:szCs w:val="18"/>
              </w:rPr>
              <w:t>sid</w:t>
            </w:r>
            <w:r w:rsidR="00CF13CC">
              <w:rPr>
                <w:rFonts w:asciiTheme="minorBidi" w:eastAsia="Times New Roman" w:hAnsiTheme="minorBidi"/>
                <w:color w:val="1C1E29"/>
                <w:sz w:val="18"/>
                <w:szCs w:val="18"/>
              </w:rPr>
              <w:t xml:space="preserve">e </w:t>
            </w:r>
            <w:r w:rsidR="00954D5E">
              <w:rPr>
                <w:rFonts w:asciiTheme="minorBidi" w:eastAsia="Times New Roman" w:hAnsiTheme="minorBidi"/>
                <w:color w:val="1C1E29"/>
                <w:sz w:val="18"/>
                <w:szCs w:val="18"/>
              </w:rPr>
              <w:t xml:space="preserve">   </w:t>
            </w:r>
            <w:r w:rsidR="000F1408" w:rsidRPr="000F1408">
              <w:rPr>
                <w:rFonts w:asciiTheme="minorBidi" w:eastAsia="Times New Roman" w:hAnsiTheme="minorBidi"/>
                <w:color w:val="1C1E29"/>
                <w:sz w:val="18"/>
                <w:szCs w:val="18"/>
              </w:rPr>
              <w:t>effect</w:t>
            </w:r>
            <w:r w:rsidR="00CF13CC">
              <w:rPr>
                <w:rFonts w:asciiTheme="minorBidi" w:eastAsia="Times New Roman" w:hAnsiTheme="minorBidi"/>
                <w:color w:val="1C1E29"/>
                <w:sz w:val="18"/>
                <w:szCs w:val="18"/>
              </w:rPr>
              <w:t xml:space="preserve"> </w:t>
            </w:r>
            <w:r w:rsidR="000F1408" w:rsidRPr="000F1408">
              <w:rPr>
                <w:rFonts w:asciiTheme="minorBidi" w:eastAsia="Times New Roman" w:hAnsiTheme="minorBidi"/>
                <w:color w:val="1C1E29"/>
                <w:sz w:val="18"/>
                <w:szCs w:val="18"/>
              </w:rPr>
              <w:t>including morphine (MOR) tolerance and opioid-induced hyperalgesia (OIH). Although the mechanisms are not clear, tolerance and hyperalgesia to opiates reduce their effectiveness in the treatment of severe pain. Recently, we have shown that repeated morphine treatments increased spinal Protein Kinase Cᵧ (PKCᵧ) and GABA transporter 1 (GAT-1) expression. In this study, we investigate the brain-derived neurotrophic factor (BDNF) and K+, CL- Cotransporter2 (KCC2) expression through ultra-low dose (ULD) of naloxone (NLX) coadministration along with morphine. </w:t>
            </w:r>
          </w:p>
          <w:p w14:paraId="5DA786B7" w14:textId="11D39F8E" w:rsidR="000F1408" w:rsidRPr="000F1408" w:rsidRDefault="000F1408" w:rsidP="000F1408">
            <w:pPr>
              <w:jc w:val="both"/>
              <w:rPr>
                <w:rFonts w:asciiTheme="minorBidi" w:eastAsia="Times New Roman" w:hAnsiTheme="minorBidi"/>
                <w:color w:val="1C1E29"/>
                <w:sz w:val="18"/>
                <w:szCs w:val="18"/>
              </w:rPr>
            </w:pPr>
            <w:r w:rsidRPr="000F1408">
              <w:rPr>
                <w:rFonts w:asciiTheme="minorBidi" w:eastAsia="Times New Roman" w:hAnsiTheme="minorBidi"/>
                <w:b/>
                <w:bCs/>
                <w:color w:val="1C1E29"/>
                <w:sz w:val="18"/>
                <w:szCs w:val="18"/>
              </w:rPr>
              <w:t>Results</w:t>
            </w:r>
            <w:r w:rsidRPr="000F1408">
              <w:rPr>
                <w:rFonts w:asciiTheme="minorBidi" w:eastAsia="Times New Roman" w:hAnsiTheme="minorBidi"/>
                <w:color w:val="1C1E29"/>
                <w:sz w:val="18"/>
                <w:szCs w:val="18"/>
              </w:rPr>
              <w:t xml:space="preserve">: </w:t>
            </w:r>
            <w:r w:rsidRPr="000F1408">
              <w:rPr>
                <w:rFonts w:asciiTheme="minorBidi" w:hAnsiTheme="minorBidi"/>
                <w:color w:val="1C1E29"/>
                <w:sz w:val="18"/>
                <w:szCs w:val="18"/>
              </w:rPr>
              <w:t>Forty-eight adult male Wistar rats (180–220 g) were used in this study. Rats were separated into 8 groups with 6 rats in each group and divided to tolerance and OIH groups; sham group received saline, morphine group received intraperitoneally (IP)10 mg morphine,</w:t>
            </w:r>
            <w:r w:rsidRPr="000F1408">
              <w:rPr>
                <w:rFonts w:asciiTheme="minorBidi" w:eastAsia="Times New Roman" w:hAnsiTheme="minorBidi"/>
                <w:color w:val="1C1E29"/>
                <w:sz w:val="18"/>
                <w:szCs w:val="18"/>
              </w:rPr>
              <w:t xml:space="preserve"> </w:t>
            </w:r>
            <w:r w:rsidR="00023CDF">
              <w:rPr>
                <w:rFonts w:asciiTheme="minorBidi" w:eastAsia="Times New Roman" w:hAnsiTheme="minorBidi"/>
                <w:color w:val="1C1E29"/>
                <w:sz w:val="18"/>
                <w:szCs w:val="18"/>
              </w:rPr>
              <w:t xml:space="preserve">the </w:t>
            </w:r>
            <w:r w:rsidRPr="000F1408">
              <w:rPr>
                <w:rFonts w:asciiTheme="minorBidi" w:hAnsiTheme="minorBidi"/>
                <w:color w:val="1C1E29"/>
                <w:sz w:val="18"/>
                <w:szCs w:val="18"/>
              </w:rPr>
              <w:t xml:space="preserve">treatment group received 15ng ULD of naloxone along with morphine, and the saline group received ULD of naloxone along with saline for 8 consecutive days. </w:t>
            </w:r>
            <w:r w:rsidR="00CF13CC" w:rsidRPr="000F1408">
              <w:rPr>
                <w:rFonts w:asciiTheme="minorBidi" w:hAnsiTheme="minorBidi"/>
                <w:color w:val="1C1E29"/>
                <w:sz w:val="18"/>
                <w:szCs w:val="18"/>
              </w:rPr>
              <w:t>Behavioural</w:t>
            </w:r>
            <w:r w:rsidRPr="000F1408">
              <w:rPr>
                <w:rFonts w:asciiTheme="minorBidi" w:hAnsiTheme="minorBidi"/>
                <w:color w:val="1C1E29"/>
                <w:sz w:val="18"/>
                <w:szCs w:val="18"/>
              </w:rPr>
              <w:t xml:space="preserve"> tests were performed by the tail-flick test (TL) and </w:t>
            </w:r>
            <w:r w:rsidR="00023CDF">
              <w:rPr>
                <w:rFonts w:asciiTheme="minorBidi" w:hAnsiTheme="minorBidi"/>
                <w:color w:val="1C1E29"/>
                <w:sz w:val="18"/>
                <w:szCs w:val="18"/>
              </w:rPr>
              <w:t xml:space="preserve">the </w:t>
            </w:r>
            <w:r w:rsidRPr="000F1408">
              <w:rPr>
                <w:rFonts w:asciiTheme="minorBidi" w:hAnsiTheme="minorBidi"/>
                <w:color w:val="1C1E29"/>
                <w:sz w:val="18"/>
                <w:szCs w:val="18"/>
              </w:rPr>
              <w:t>plantar test.</w:t>
            </w:r>
            <w:r w:rsidRPr="000F1408">
              <w:rPr>
                <w:rFonts w:asciiTheme="minorBidi" w:eastAsia="Times New Roman" w:hAnsiTheme="minorBidi"/>
                <w:color w:val="1C1E29"/>
                <w:sz w:val="18"/>
                <w:szCs w:val="18"/>
              </w:rPr>
              <w:t xml:space="preserve"> </w:t>
            </w:r>
            <w:r w:rsidR="00023CDF">
              <w:rPr>
                <w:rFonts w:asciiTheme="minorBidi" w:eastAsia="Times New Roman" w:hAnsiTheme="minorBidi"/>
                <w:color w:val="1C1E29"/>
                <w:sz w:val="18"/>
                <w:szCs w:val="18"/>
              </w:rPr>
              <w:t xml:space="preserve">Under deep </w:t>
            </w:r>
            <w:proofErr w:type="spellStart"/>
            <w:r w:rsidR="00023CDF">
              <w:rPr>
                <w:rFonts w:asciiTheme="minorBidi" w:eastAsia="Times New Roman" w:hAnsiTheme="minorBidi"/>
                <w:color w:val="1C1E29"/>
                <w:sz w:val="18"/>
                <w:szCs w:val="18"/>
              </w:rPr>
              <w:t>anesthesia</w:t>
            </w:r>
            <w:proofErr w:type="spellEnd"/>
            <w:r w:rsidR="00023CDF">
              <w:rPr>
                <w:rFonts w:asciiTheme="minorBidi" w:eastAsia="Times New Roman" w:hAnsiTheme="minorBidi"/>
                <w:color w:val="1C1E29"/>
                <w:sz w:val="18"/>
                <w:szCs w:val="18"/>
              </w:rPr>
              <w:t>, l</w:t>
            </w:r>
            <w:r w:rsidRPr="000F1408">
              <w:rPr>
                <w:rFonts w:asciiTheme="minorBidi" w:eastAsia="Times New Roman" w:hAnsiTheme="minorBidi"/>
                <w:color w:val="1C1E29"/>
                <w:sz w:val="18"/>
                <w:szCs w:val="18"/>
              </w:rPr>
              <w:t xml:space="preserve">umbar segments of the spinal cord were collected on day 8 for </w:t>
            </w:r>
            <w:r w:rsidRPr="000F1408">
              <w:rPr>
                <w:rFonts w:asciiTheme="minorBidi" w:hAnsiTheme="minorBidi"/>
                <w:color w:val="1C1E29"/>
                <w:sz w:val="18"/>
                <w:szCs w:val="18"/>
              </w:rPr>
              <w:t>western blotting and day 10 for immunohistochemistry.</w:t>
            </w:r>
            <w:r w:rsidRPr="000F1408">
              <w:rPr>
                <w:rFonts w:asciiTheme="minorBidi" w:eastAsia="Times New Roman" w:hAnsiTheme="minorBidi"/>
                <w:color w:val="1C1E29"/>
                <w:sz w:val="18"/>
                <w:szCs w:val="18"/>
              </w:rPr>
              <w:t xml:space="preserve"> </w:t>
            </w:r>
            <w:r w:rsidR="00CF13CC" w:rsidRPr="000F1408">
              <w:rPr>
                <w:rFonts w:asciiTheme="minorBidi" w:eastAsia="Times New Roman" w:hAnsiTheme="minorBidi"/>
                <w:color w:val="1C1E29"/>
                <w:sz w:val="18"/>
                <w:szCs w:val="18"/>
              </w:rPr>
              <w:t>Behavioural</w:t>
            </w:r>
            <w:r w:rsidR="00CF13CC">
              <w:rPr>
                <w:rFonts w:asciiTheme="minorBidi" w:eastAsia="Times New Roman" w:hAnsiTheme="minorBidi"/>
                <w:color w:val="1C1E29"/>
                <w:sz w:val="18"/>
                <w:szCs w:val="18"/>
              </w:rPr>
              <w:t xml:space="preserve"> </w:t>
            </w:r>
            <w:r w:rsidRPr="000F1408">
              <w:rPr>
                <w:rFonts w:asciiTheme="minorBidi" w:eastAsia="Times New Roman" w:hAnsiTheme="minorBidi"/>
                <w:color w:val="1C1E29"/>
                <w:sz w:val="18"/>
                <w:szCs w:val="18"/>
              </w:rPr>
              <w:t>tests suggested that tolerance developed</w:t>
            </w:r>
            <w:r w:rsidRPr="000F1408" w:rsidDel="007E4DD5">
              <w:rPr>
                <w:rFonts w:asciiTheme="minorBidi" w:eastAsia="Times New Roman" w:hAnsiTheme="minorBidi"/>
                <w:color w:val="1C1E29"/>
                <w:sz w:val="18"/>
                <w:szCs w:val="18"/>
              </w:rPr>
              <w:t xml:space="preserve"> </w:t>
            </w:r>
            <w:r w:rsidRPr="000F1408">
              <w:rPr>
                <w:rFonts w:asciiTheme="minorBidi" w:eastAsia="Times New Roman" w:hAnsiTheme="minorBidi"/>
                <w:color w:val="1C1E29"/>
                <w:sz w:val="18"/>
                <w:szCs w:val="18"/>
              </w:rPr>
              <w:t>following 8 days of chronic morphine injection. OIH was shown 48 hours after the last morphine injection on day 10. Expression of BDNF significantly increased on day 8 and KCC2 was downregulated on day 10, which lead to morphine tolerance and OIH, respectively. An ULD of naloxone was able to suppress the development of OIH and alleviated morphine tolerance by decreasing BDNF and increasing KCC2. </w:t>
            </w:r>
          </w:p>
          <w:p w14:paraId="7EE80B65" w14:textId="77777777" w:rsidR="000F1408" w:rsidRPr="000F1408" w:rsidRDefault="000F1408" w:rsidP="000F1408">
            <w:pPr>
              <w:jc w:val="both"/>
              <w:rPr>
                <w:rFonts w:asciiTheme="minorBidi" w:eastAsia="Times New Roman" w:hAnsiTheme="minorBidi"/>
                <w:color w:val="1C1E29"/>
                <w:sz w:val="18"/>
                <w:szCs w:val="18"/>
              </w:rPr>
            </w:pPr>
            <w:r w:rsidRPr="000F1408">
              <w:rPr>
                <w:rFonts w:asciiTheme="minorBidi" w:eastAsia="Times New Roman" w:hAnsiTheme="minorBidi"/>
                <w:b/>
                <w:bCs/>
                <w:color w:val="1C1E29"/>
                <w:sz w:val="18"/>
                <w:szCs w:val="18"/>
              </w:rPr>
              <w:t>Conclusions</w:t>
            </w:r>
            <w:r w:rsidRPr="000F1408">
              <w:rPr>
                <w:rFonts w:asciiTheme="minorBidi" w:eastAsia="Times New Roman" w:hAnsiTheme="minorBidi"/>
                <w:color w:val="1C1E29"/>
                <w:sz w:val="18"/>
                <w:szCs w:val="18"/>
              </w:rPr>
              <w:t>: Our data suggest that BDNF and KCC2 maybe candidate molecules that are involved in tolerance and OIH. The ultra-low dose of naloxone along with morphine might have valuable therapeutic potential for controlling hypersensitivity following chronic morphine administration.</w:t>
            </w:r>
          </w:p>
          <w:p w14:paraId="7F1E9795" w14:textId="270A17A1" w:rsidR="00E840DC" w:rsidRPr="009A7B41" w:rsidRDefault="009A7B41" w:rsidP="00E840DC">
            <w:pPr>
              <w:autoSpaceDE w:val="0"/>
              <w:autoSpaceDN w:val="0"/>
              <w:adjustRightInd w:val="0"/>
              <w:spacing w:before="60" w:after="60"/>
              <w:rPr>
                <w:rFonts w:ascii="Arial" w:hAnsi="Arial" w:cs="Arial"/>
                <w:sz w:val="18"/>
                <w:szCs w:val="18"/>
              </w:rPr>
            </w:pPr>
            <w:r>
              <w:rPr>
                <w:rFonts w:ascii="Arial" w:hAnsi="Arial" w:cs="Arial"/>
                <w:noProof/>
                <w:sz w:val="18"/>
                <w:szCs w:val="18"/>
                <w:lang w:eastAsia="en-GB"/>
              </w:rPr>
              <w:t xml:space="preserve">     </w:t>
            </w:r>
          </w:p>
        </w:tc>
        <w:tc>
          <w:tcPr>
            <w:tcW w:w="1530" w:type="dxa"/>
            <w:tcBorders>
              <w:top w:val="single" w:sz="8" w:space="0" w:color="454443"/>
              <w:left w:val="single" w:sz="8" w:space="0" w:color="454443"/>
              <w:bottom w:val="single" w:sz="8" w:space="0" w:color="921F49"/>
            </w:tcBorders>
          </w:tcPr>
          <w:p w14:paraId="53AA3A45" w14:textId="3B60F674" w:rsidR="00E840DC" w:rsidRPr="00227F90" w:rsidRDefault="009A7B41" w:rsidP="00240246">
            <w:pPr>
              <w:autoSpaceDE w:val="0"/>
              <w:autoSpaceDN w:val="0"/>
              <w:adjustRightInd w:val="0"/>
              <w:spacing w:before="60" w:after="60"/>
              <w:rPr>
                <w:rFonts w:ascii="Arial" w:hAnsi="Arial" w:cs="Arial"/>
                <w:sz w:val="18"/>
                <w:szCs w:val="18"/>
              </w:rPr>
            </w:pPr>
            <w:r>
              <w:rPr>
                <w:rFonts w:ascii="Arial" w:hAnsi="Arial" w:cs="Arial"/>
                <w:sz w:val="18"/>
                <w:szCs w:val="18"/>
              </w:rPr>
              <w:t>Abstract</w:t>
            </w:r>
          </w:p>
        </w:tc>
      </w:tr>
      <w:tr w:rsidR="00214F3D" w:rsidRPr="00227F90" w14:paraId="3F774A2B" w14:textId="77777777" w:rsidTr="00EE683C">
        <w:trPr>
          <w:trHeight w:val="286"/>
        </w:trPr>
        <w:tc>
          <w:tcPr>
            <w:tcW w:w="8910" w:type="dxa"/>
            <w:gridSpan w:val="3"/>
            <w:tcBorders>
              <w:top w:val="single" w:sz="8" w:space="0" w:color="921F49"/>
              <w:bottom w:val="single" w:sz="8" w:space="0" w:color="921F49"/>
              <w:right w:val="single" w:sz="8" w:space="0" w:color="921F49"/>
            </w:tcBorders>
            <w:shd w:val="clear" w:color="auto" w:fill="921F49"/>
          </w:tcPr>
          <w:p w14:paraId="08FBBB86" w14:textId="77777777"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INTRODUCTION</w:t>
            </w:r>
          </w:p>
        </w:tc>
        <w:tc>
          <w:tcPr>
            <w:tcW w:w="1530" w:type="dxa"/>
            <w:tcBorders>
              <w:top w:val="single" w:sz="8" w:space="0" w:color="921F49"/>
              <w:left w:val="single" w:sz="8" w:space="0" w:color="921F49"/>
              <w:bottom w:val="single" w:sz="8" w:space="0" w:color="921F49"/>
            </w:tcBorders>
            <w:shd w:val="clear" w:color="auto" w:fill="921F49"/>
          </w:tcPr>
          <w:p w14:paraId="3C55B7C1" w14:textId="77777777" w:rsidR="00214F3D" w:rsidRPr="00227F90" w:rsidRDefault="00214F3D" w:rsidP="00214F3D">
            <w:pPr>
              <w:autoSpaceDE w:val="0"/>
              <w:autoSpaceDN w:val="0"/>
              <w:adjustRightInd w:val="0"/>
              <w:spacing w:before="60" w:after="60"/>
              <w:rPr>
                <w:rFonts w:ascii="Arial" w:hAnsi="Arial" w:cs="Arial"/>
                <w:sz w:val="18"/>
                <w:szCs w:val="18"/>
              </w:rPr>
            </w:pPr>
          </w:p>
        </w:tc>
      </w:tr>
      <w:tr w:rsidR="00240246" w:rsidRPr="00227F90" w14:paraId="4D06A94E" w14:textId="77777777" w:rsidTr="00EE683C">
        <w:tc>
          <w:tcPr>
            <w:tcW w:w="8910" w:type="dxa"/>
            <w:gridSpan w:val="3"/>
            <w:tcBorders>
              <w:top w:val="single" w:sz="8" w:space="0" w:color="921F49"/>
              <w:bottom w:val="single" w:sz="8" w:space="0" w:color="921F49"/>
              <w:right w:val="single" w:sz="8" w:space="0" w:color="921F49"/>
            </w:tcBorders>
          </w:tcPr>
          <w:p w14:paraId="6C18EA5E" w14:textId="1279693B" w:rsidR="00954D5E" w:rsidRDefault="00CF13CC" w:rsidP="00954D5E">
            <w:pPr>
              <w:pStyle w:val="NormalWeb"/>
              <w:spacing w:before="0" w:beforeAutospacing="0" w:after="0" w:afterAutospacing="0"/>
              <w:jc w:val="both"/>
              <w:rPr>
                <w:rFonts w:asciiTheme="minorBidi" w:hAnsiTheme="minorBidi" w:cstheme="minorBidi"/>
                <w:sz w:val="18"/>
                <w:szCs w:val="18"/>
              </w:rPr>
            </w:pPr>
            <w:r w:rsidRPr="00954D5E">
              <w:rPr>
                <w:rFonts w:ascii="Arial" w:hAnsi="Arial" w:cs="Arial"/>
                <w:b/>
                <w:bCs/>
                <w:noProof/>
                <w:sz w:val="18"/>
                <w:szCs w:val="18"/>
                <w:lang w:eastAsia="en-GB"/>
              </w:rPr>
              <w:t>Background</w:t>
            </w:r>
            <w:r w:rsidRPr="00CF13CC">
              <w:rPr>
                <w:rFonts w:ascii="Arial" w:hAnsi="Arial" w:cs="Arial"/>
                <w:noProof/>
                <w:sz w:val="18"/>
                <w:szCs w:val="18"/>
                <w:lang w:eastAsia="en-GB"/>
              </w:rPr>
              <w:t xml:space="preserve">         </w:t>
            </w:r>
            <w:r w:rsidR="00954D5E">
              <w:rPr>
                <w:rFonts w:ascii="Arial" w:hAnsi="Arial" w:cs="Arial"/>
                <w:noProof/>
                <w:sz w:val="18"/>
                <w:szCs w:val="18"/>
                <w:lang w:eastAsia="en-GB"/>
              </w:rPr>
              <w:t xml:space="preserve"> </w:t>
            </w:r>
            <w:r w:rsidRPr="00CF13CC">
              <w:rPr>
                <w:rFonts w:ascii="Arial" w:hAnsi="Arial" w:cs="Arial"/>
                <w:noProof/>
                <w:sz w:val="18"/>
                <w:szCs w:val="18"/>
                <w:lang w:eastAsia="en-GB"/>
              </w:rPr>
              <w:t xml:space="preserve">  </w:t>
            </w:r>
            <w:r>
              <w:rPr>
                <w:rFonts w:ascii="Arial" w:hAnsi="Arial" w:cs="Arial"/>
                <w:noProof/>
                <w:sz w:val="18"/>
                <w:szCs w:val="18"/>
                <w:lang w:eastAsia="en-GB"/>
              </w:rPr>
              <w:t xml:space="preserve">  </w:t>
            </w:r>
            <w:r w:rsidRPr="00454C23">
              <w:rPr>
                <w:rFonts w:ascii="Arial" w:hAnsi="Arial" w:cs="Arial"/>
                <w:b/>
                <w:bCs/>
                <w:noProof/>
                <w:sz w:val="18"/>
                <w:szCs w:val="18"/>
                <w:lang w:eastAsia="en-GB"/>
              </w:rPr>
              <w:t xml:space="preserve">3     </w:t>
            </w:r>
            <w:r w:rsidR="00454C23" w:rsidRPr="00454C23">
              <w:rPr>
                <w:rFonts w:ascii="Arial" w:hAnsi="Arial" w:cs="Arial"/>
                <w:b/>
                <w:bCs/>
                <w:noProof/>
                <w:sz w:val="18"/>
                <w:szCs w:val="18"/>
                <w:lang w:eastAsia="en-GB"/>
              </w:rPr>
              <w:t>a.</w:t>
            </w:r>
            <w:r>
              <w:rPr>
                <w:rFonts w:ascii="Arial" w:hAnsi="Arial" w:cs="Arial"/>
                <w:noProof/>
                <w:sz w:val="18"/>
                <w:szCs w:val="18"/>
                <w:lang w:eastAsia="en-GB"/>
              </w:rPr>
              <w:t xml:space="preserve"> </w:t>
            </w:r>
            <w:r w:rsidRPr="00BD101F">
              <w:rPr>
                <w:rFonts w:asciiTheme="minorBidi" w:hAnsiTheme="minorBidi" w:cstheme="minorBidi"/>
                <w:sz w:val="18"/>
                <w:szCs w:val="18"/>
              </w:rPr>
              <w:t xml:space="preserve">It has been shown that long-term administration of opioids, including morphine, leads to tolerance, dependence, addiction, and hyperalgesia. Among the multiple adverse side effects, tolerance and opioid-induced hyperalgesia are importance. Although morphine remains the best analgesic of all the opioids </w:t>
            </w:r>
            <w:r w:rsidRPr="00BD101F">
              <w:rPr>
                <w:rFonts w:asciiTheme="minorBidi" w:hAnsiTheme="minorBidi" w:cstheme="minorBidi"/>
                <w:noProof/>
                <w:sz w:val="18"/>
                <w:szCs w:val="18"/>
              </w:rPr>
              <w:t>(1)</w:t>
            </w:r>
            <w:r w:rsidRPr="00BD101F">
              <w:rPr>
                <w:rFonts w:asciiTheme="minorBidi" w:hAnsiTheme="minorBidi" w:cstheme="minorBidi"/>
                <w:sz w:val="18"/>
                <w:szCs w:val="18"/>
              </w:rPr>
              <w:t>, studies have shown that continuous injection of morphine can increase spinal BDNF release, which is involved in the development of hyperalgesia. This is due to the effect of BDNF, which binds to the tyrosine kinase receptor (</w:t>
            </w:r>
            <w:proofErr w:type="spellStart"/>
            <w:r w:rsidRPr="00BD101F">
              <w:rPr>
                <w:rFonts w:asciiTheme="minorBidi" w:hAnsiTheme="minorBidi" w:cstheme="minorBidi"/>
                <w:sz w:val="18"/>
                <w:szCs w:val="18"/>
              </w:rPr>
              <w:t>TrkB</w:t>
            </w:r>
            <w:proofErr w:type="spellEnd"/>
            <w:r w:rsidRPr="00BD101F">
              <w:rPr>
                <w:rFonts w:asciiTheme="minorBidi" w:hAnsiTheme="minorBidi" w:cstheme="minorBidi"/>
                <w:sz w:val="18"/>
                <w:szCs w:val="18"/>
              </w:rPr>
              <w:t xml:space="preserve">) and then inhibits KCC2 cotransporter activity. KCC2 increases the accumulation of chlorine and potassium ions in the cell and produces sensitivity and excitability </w:t>
            </w:r>
            <w:r w:rsidRPr="00BD101F">
              <w:rPr>
                <w:rFonts w:asciiTheme="minorBidi" w:hAnsiTheme="minorBidi" w:cstheme="minorBidi"/>
                <w:noProof/>
                <w:sz w:val="18"/>
                <w:szCs w:val="18"/>
              </w:rPr>
              <w:t>(2, 3)</w:t>
            </w:r>
            <w:r w:rsidRPr="00BD101F">
              <w:rPr>
                <w:rFonts w:asciiTheme="minorBidi" w:hAnsiTheme="minorBidi" w:cstheme="minorBidi"/>
                <w:sz w:val="18"/>
                <w:szCs w:val="18"/>
              </w:rPr>
              <w:t xml:space="preserve">. KCC2 levels downregulate by BDNF release following chronic morphine administration </w:t>
            </w:r>
            <w:r w:rsidRPr="00BD101F">
              <w:rPr>
                <w:rFonts w:asciiTheme="minorBidi" w:hAnsiTheme="minorBidi" w:cstheme="minorBidi"/>
                <w:noProof/>
                <w:sz w:val="18"/>
                <w:szCs w:val="18"/>
              </w:rPr>
              <w:t>(3-5)</w:t>
            </w:r>
            <w:r w:rsidRPr="00BD101F">
              <w:rPr>
                <w:rFonts w:asciiTheme="minorBidi" w:hAnsiTheme="minorBidi" w:cstheme="minorBidi"/>
                <w:sz w:val="18"/>
                <w:szCs w:val="18"/>
              </w:rPr>
              <w:t xml:space="preserve">. Rivera (1999) presented several pieces of evidence showing that BDNF down-regulates KCC2, leading to impairment of Cl-extrusion from neurons. Researchers have shown an obvious downregulation of KCC2 mRNA expression by BDNF </w:t>
            </w:r>
            <w:r w:rsidRPr="00BD101F">
              <w:rPr>
                <w:rFonts w:asciiTheme="minorBidi" w:hAnsiTheme="minorBidi" w:cstheme="minorBidi"/>
                <w:noProof/>
                <w:sz w:val="18"/>
                <w:szCs w:val="18"/>
              </w:rPr>
              <w:t>(6)</w:t>
            </w:r>
            <w:r w:rsidRPr="00BD101F">
              <w:rPr>
                <w:rFonts w:asciiTheme="minorBidi" w:hAnsiTheme="minorBidi" w:cstheme="minorBidi"/>
                <w:sz w:val="18"/>
                <w:szCs w:val="18"/>
              </w:rPr>
              <w:t xml:space="preserve">. BDNF-induced hyperexcitability has been proposed to be partly due to effects on Gamma-aminobutyric acid (GABA) inhibition </w:t>
            </w:r>
            <w:r w:rsidRPr="00BD101F">
              <w:rPr>
                <w:rFonts w:asciiTheme="minorBidi" w:hAnsiTheme="minorBidi" w:cstheme="minorBidi"/>
                <w:noProof/>
                <w:sz w:val="18"/>
                <w:szCs w:val="18"/>
              </w:rPr>
              <w:t>(7)</w:t>
            </w:r>
            <w:r w:rsidRPr="00BD101F">
              <w:rPr>
                <w:rFonts w:asciiTheme="minorBidi" w:hAnsiTheme="minorBidi" w:cstheme="minorBidi"/>
                <w:sz w:val="18"/>
                <w:szCs w:val="18"/>
              </w:rPr>
              <w:t xml:space="preserve">. The changes in intraneuronal Cl affect the amplitude and polarity of GABAergic responses </w:t>
            </w:r>
            <w:r w:rsidRPr="00BD101F">
              <w:rPr>
                <w:rFonts w:asciiTheme="minorBidi" w:hAnsiTheme="minorBidi" w:cstheme="minorBidi"/>
                <w:noProof/>
                <w:sz w:val="18"/>
                <w:szCs w:val="18"/>
              </w:rPr>
              <w:t>(8)</w:t>
            </w:r>
            <w:r w:rsidRPr="00BD101F">
              <w:rPr>
                <w:rFonts w:asciiTheme="minorBidi" w:hAnsiTheme="minorBidi" w:cstheme="minorBidi"/>
                <w:sz w:val="18"/>
                <w:szCs w:val="18"/>
              </w:rPr>
              <w:t xml:space="preserve"> and are involved in the control of both neuronal and interstitial volume, which play a critical role in the modulation of neuronal excitability </w:t>
            </w:r>
            <w:r w:rsidRPr="00BD101F">
              <w:rPr>
                <w:rFonts w:asciiTheme="minorBidi" w:hAnsiTheme="minorBidi" w:cstheme="minorBidi"/>
                <w:noProof/>
                <w:sz w:val="18"/>
                <w:szCs w:val="18"/>
              </w:rPr>
              <w:t>(9)</w:t>
            </w:r>
            <w:r w:rsidRPr="00BD101F">
              <w:rPr>
                <w:rFonts w:asciiTheme="minorBidi" w:hAnsiTheme="minorBidi" w:cstheme="minorBidi"/>
                <w:sz w:val="18"/>
                <w:szCs w:val="18"/>
              </w:rPr>
              <w:t>.</w:t>
            </w:r>
          </w:p>
          <w:p w14:paraId="057F846B" w14:textId="77777777" w:rsidR="00240246" w:rsidRDefault="00CF13CC" w:rsidP="00954D5E">
            <w:pPr>
              <w:pStyle w:val="NormalWeb"/>
              <w:spacing w:before="0" w:beforeAutospacing="0" w:after="0" w:afterAutospacing="0"/>
              <w:jc w:val="both"/>
              <w:rPr>
                <w:rFonts w:asciiTheme="minorBidi" w:hAnsiTheme="minorBidi" w:cstheme="minorBidi"/>
                <w:sz w:val="18"/>
                <w:szCs w:val="18"/>
              </w:rPr>
            </w:pPr>
            <w:r w:rsidRPr="00BD101F">
              <w:rPr>
                <w:rFonts w:asciiTheme="minorBidi" w:hAnsiTheme="minorBidi" w:cstheme="minorBidi"/>
                <w:sz w:val="18"/>
                <w:szCs w:val="18"/>
              </w:rPr>
              <w:t xml:space="preserve">Opioid receptor antagonists, such as naloxone and naltrexone, at mg or </w:t>
            </w:r>
            <w:proofErr w:type="spellStart"/>
            <w:r w:rsidRPr="00BD101F">
              <w:rPr>
                <w:rFonts w:asciiTheme="minorBidi" w:hAnsiTheme="minorBidi" w:cstheme="minorBidi"/>
                <w:sz w:val="18"/>
                <w:szCs w:val="18"/>
              </w:rPr>
              <w:t>μg</w:t>
            </w:r>
            <w:proofErr w:type="spellEnd"/>
            <w:r w:rsidRPr="00BD101F">
              <w:rPr>
                <w:rFonts w:asciiTheme="minorBidi" w:hAnsiTheme="minorBidi" w:cstheme="minorBidi"/>
                <w:sz w:val="18"/>
                <w:szCs w:val="18"/>
              </w:rPr>
              <w:t>. doses antagonize opioid</w:t>
            </w:r>
            <w:r w:rsidR="00954D5E">
              <w:rPr>
                <w:rFonts w:asciiTheme="minorBidi" w:hAnsiTheme="minorBidi"/>
                <w:sz w:val="18"/>
                <w:szCs w:val="18"/>
              </w:rPr>
              <w:t xml:space="preserve"> </w:t>
            </w:r>
            <w:r w:rsidRPr="00BD101F">
              <w:rPr>
                <w:rFonts w:asciiTheme="minorBidi" w:hAnsiTheme="minorBidi" w:cstheme="minorBidi"/>
                <w:sz w:val="18"/>
                <w:szCs w:val="18"/>
              </w:rPr>
              <w:t xml:space="preserve">functions, but at ng or pg. doses enhance the analgesic effect of opioid agonists </w:t>
            </w:r>
            <w:r w:rsidRPr="00BD101F">
              <w:rPr>
                <w:rFonts w:asciiTheme="minorBidi" w:hAnsiTheme="minorBidi" w:cstheme="minorBidi"/>
                <w:noProof/>
                <w:sz w:val="18"/>
                <w:szCs w:val="18"/>
              </w:rPr>
              <w:t>(10)</w:t>
            </w:r>
            <w:r w:rsidRPr="00BD101F">
              <w:rPr>
                <w:rFonts w:asciiTheme="minorBidi" w:hAnsiTheme="minorBidi" w:cstheme="minorBidi"/>
                <w:sz w:val="18"/>
                <w:szCs w:val="18"/>
              </w:rPr>
              <w:t xml:space="preserve">. Co-administration of morphine with an ultra-low dose of naltrexone or naloxone potentiate the antinociceptive effect of morphine </w:t>
            </w:r>
            <w:r w:rsidRPr="00BD101F">
              <w:rPr>
                <w:rFonts w:asciiTheme="minorBidi" w:hAnsiTheme="minorBidi" w:cstheme="minorBidi"/>
                <w:noProof/>
                <w:sz w:val="18"/>
                <w:szCs w:val="18"/>
              </w:rPr>
              <w:t>(11)</w:t>
            </w:r>
            <w:r w:rsidRPr="00BD101F">
              <w:rPr>
                <w:rFonts w:asciiTheme="minorBidi" w:hAnsiTheme="minorBidi" w:cstheme="minorBidi"/>
                <w:sz w:val="18"/>
                <w:szCs w:val="18"/>
              </w:rPr>
              <w:t xml:space="preserve">. Moreover, it has been shown that ultra-low-dose naloxone modulates spinal neuroinflammation and enhances the antinociceptive effect of morphine </w:t>
            </w:r>
            <w:r w:rsidRPr="00BD101F">
              <w:rPr>
                <w:rFonts w:asciiTheme="minorBidi" w:hAnsiTheme="minorBidi" w:cstheme="minorBidi"/>
                <w:noProof/>
                <w:sz w:val="18"/>
                <w:szCs w:val="18"/>
              </w:rPr>
              <w:t>(12)</w:t>
            </w:r>
            <w:r w:rsidRPr="00BD101F">
              <w:rPr>
                <w:rFonts w:asciiTheme="minorBidi" w:hAnsiTheme="minorBidi" w:cstheme="minorBidi"/>
                <w:sz w:val="18"/>
                <w:szCs w:val="18"/>
              </w:rPr>
              <w:t>.</w:t>
            </w:r>
          </w:p>
          <w:p w14:paraId="019905B9" w14:textId="76198EAA" w:rsidR="00A91E59" w:rsidRPr="00CA6623" w:rsidRDefault="00454C23" w:rsidP="00A91E59">
            <w:pPr>
              <w:pStyle w:val="NormalWeb"/>
              <w:spacing w:before="0" w:beforeAutospacing="0" w:after="0" w:afterAutospacing="0"/>
              <w:jc w:val="both"/>
              <w:rPr>
                <w:rFonts w:asciiTheme="minorBidi" w:hAnsiTheme="minorBidi" w:cstheme="minorBidi"/>
                <w:sz w:val="18"/>
                <w:szCs w:val="18"/>
              </w:rPr>
            </w:pPr>
            <w:r>
              <w:rPr>
                <w:rFonts w:asciiTheme="minorBidi" w:hAnsiTheme="minorBidi" w:cstheme="minorBidi"/>
                <w:sz w:val="18"/>
                <w:szCs w:val="18"/>
              </w:rPr>
              <w:t xml:space="preserve">                                                      </w:t>
            </w:r>
            <w:r w:rsidRPr="00454C23">
              <w:rPr>
                <w:rFonts w:asciiTheme="minorBidi" w:hAnsiTheme="minorBidi" w:cstheme="minorBidi"/>
                <w:b/>
                <w:bCs/>
                <w:sz w:val="18"/>
                <w:szCs w:val="18"/>
              </w:rPr>
              <w:t>b.</w:t>
            </w:r>
            <w:r>
              <w:rPr>
                <w:rFonts w:asciiTheme="minorBidi" w:hAnsiTheme="minorBidi" w:cstheme="minorBidi"/>
                <w:sz w:val="18"/>
                <w:szCs w:val="18"/>
              </w:rPr>
              <w:t xml:space="preserve"> </w:t>
            </w:r>
            <w:r w:rsidRPr="004A3FD8">
              <w:rPr>
                <w:rFonts w:asciiTheme="minorBidi" w:hAnsiTheme="minorBidi" w:cstheme="minorBidi"/>
                <w:sz w:val="18"/>
                <w:szCs w:val="18"/>
              </w:rPr>
              <w:t xml:space="preserve">These data suggest that ultra-low-dose naloxone might be clinically valuable in pain management </w:t>
            </w:r>
            <w:r w:rsidRPr="004A3FD8">
              <w:rPr>
                <w:rFonts w:asciiTheme="minorBidi" w:hAnsiTheme="minorBidi" w:cstheme="minorBidi"/>
                <w:noProof/>
                <w:sz w:val="18"/>
                <w:szCs w:val="18"/>
              </w:rPr>
              <w:t>(13)</w:t>
            </w:r>
            <w:r w:rsidRPr="004A3FD8">
              <w:rPr>
                <w:rFonts w:asciiTheme="minorBidi" w:hAnsiTheme="minorBidi" w:cstheme="minorBidi"/>
                <w:sz w:val="18"/>
                <w:szCs w:val="18"/>
              </w:rPr>
              <w:t xml:space="preserve"> as co-infusion of ultra-low-dose naloxone along with morphine maintains the antinociceptive effect of morphine </w:t>
            </w:r>
            <w:r w:rsidRPr="004A3FD8">
              <w:rPr>
                <w:rFonts w:asciiTheme="minorBidi" w:hAnsiTheme="minorBidi" w:cstheme="minorBidi"/>
                <w:noProof/>
                <w:sz w:val="18"/>
                <w:szCs w:val="18"/>
              </w:rPr>
              <w:t>(12)</w:t>
            </w:r>
            <w:r w:rsidRPr="004A3FD8">
              <w:rPr>
                <w:rFonts w:asciiTheme="minorBidi" w:hAnsiTheme="minorBidi" w:cstheme="minorBidi"/>
                <w:sz w:val="18"/>
                <w:szCs w:val="18"/>
              </w:rPr>
              <w:t xml:space="preserve">. Furthermore, the ultra-low-dose of naloxone is known as an effective adjuvant to suppress opioid tolerance and dependence </w:t>
            </w:r>
            <w:r w:rsidRPr="004A3FD8">
              <w:rPr>
                <w:rFonts w:asciiTheme="minorBidi" w:hAnsiTheme="minorBidi" w:cstheme="minorBidi"/>
                <w:noProof/>
                <w:sz w:val="18"/>
                <w:szCs w:val="18"/>
              </w:rPr>
              <w:t>(14)</w:t>
            </w:r>
            <w:r w:rsidRPr="004A3FD8">
              <w:rPr>
                <w:rFonts w:asciiTheme="minorBidi" w:hAnsiTheme="minorBidi" w:cstheme="minorBidi"/>
                <w:sz w:val="18"/>
                <w:szCs w:val="18"/>
              </w:rPr>
              <w:t>. The mechanism underlying an ultra-low dose of naloxone is not well known.</w:t>
            </w:r>
            <w:r w:rsidR="00A91E59" w:rsidRPr="00CA6623">
              <w:rPr>
                <w:rFonts w:asciiTheme="minorBidi" w:hAnsiTheme="minorBidi"/>
                <w:sz w:val="18"/>
                <w:szCs w:val="18"/>
              </w:rPr>
              <w:t xml:space="preserve"> </w:t>
            </w:r>
            <w:r w:rsidR="00A91E59" w:rsidRPr="00CA6623">
              <w:rPr>
                <w:rFonts w:asciiTheme="minorBidi" w:hAnsiTheme="minorBidi" w:cstheme="minorBidi"/>
                <w:sz w:val="18"/>
                <w:szCs w:val="18"/>
              </w:rPr>
              <w:t>In this study, we examined the effect of co-administration of morphine and ultra-low-dose naloxone on BDNF and KCC2 expression in dorsal horn neurons in morphine-treated rats. </w:t>
            </w:r>
          </w:p>
          <w:p w14:paraId="667D43E6" w14:textId="77777777" w:rsidR="00A91E59" w:rsidRPr="00CA6623" w:rsidRDefault="00A91E59" w:rsidP="00A91E59">
            <w:pPr>
              <w:pStyle w:val="NormalWeb"/>
              <w:spacing w:before="0" w:beforeAutospacing="0" w:after="0" w:afterAutospacing="0"/>
              <w:jc w:val="both"/>
              <w:rPr>
                <w:rFonts w:asciiTheme="minorBidi" w:hAnsiTheme="minorBidi" w:cstheme="minorBidi"/>
                <w:color w:val="1C1E29"/>
                <w:sz w:val="18"/>
                <w:szCs w:val="18"/>
              </w:rPr>
            </w:pPr>
          </w:p>
          <w:p w14:paraId="5E653267" w14:textId="6EA2C983" w:rsidR="00954D5E" w:rsidRPr="00954D5E" w:rsidRDefault="00954D5E" w:rsidP="00954D5E">
            <w:pPr>
              <w:pStyle w:val="NormalWeb"/>
              <w:spacing w:before="0" w:beforeAutospacing="0" w:after="0" w:afterAutospacing="0"/>
              <w:jc w:val="both"/>
              <w:rPr>
                <w:rFonts w:asciiTheme="minorBidi" w:hAnsiTheme="minorBidi" w:cstheme="minorBidi"/>
                <w:sz w:val="18"/>
                <w:szCs w:val="18"/>
              </w:rPr>
            </w:pPr>
          </w:p>
        </w:tc>
        <w:tc>
          <w:tcPr>
            <w:tcW w:w="1530" w:type="dxa"/>
            <w:tcBorders>
              <w:top w:val="single" w:sz="8" w:space="0" w:color="921F49"/>
              <w:left w:val="single" w:sz="8" w:space="0" w:color="921F49"/>
              <w:bottom w:val="single" w:sz="8" w:space="0" w:color="921F49"/>
            </w:tcBorders>
          </w:tcPr>
          <w:p w14:paraId="402C8C42" w14:textId="77777777" w:rsidR="00954D5E" w:rsidRDefault="00954D5E" w:rsidP="00954D5E">
            <w:pPr>
              <w:autoSpaceDE w:val="0"/>
              <w:autoSpaceDN w:val="0"/>
              <w:adjustRightInd w:val="0"/>
              <w:spacing w:before="60" w:after="60"/>
              <w:rPr>
                <w:rFonts w:ascii="Arial" w:hAnsi="Arial" w:cs="Arial"/>
                <w:sz w:val="18"/>
                <w:szCs w:val="18"/>
              </w:rPr>
            </w:pPr>
          </w:p>
          <w:p w14:paraId="2165F012" w14:textId="77777777" w:rsidR="00240246" w:rsidRDefault="00954D5E" w:rsidP="00954D5E">
            <w:pPr>
              <w:autoSpaceDE w:val="0"/>
              <w:autoSpaceDN w:val="0"/>
              <w:adjustRightInd w:val="0"/>
              <w:spacing w:before="60" w:after="60"/>
              <w:rPr>
                <w:rFonts w:ascii="Arial" w:hAnsi="Arial" w:cs="Arial"/>
                <w:sz w:val="18"/>
                <w:szCs w:val="18"/>
              </w:rPr>
            </w:pPr>
            <w:r>
              <w:rPr>
                <w:rFonts w:ascii="Arial" w:hAnsi="Arial" w:cs="Arial"/>
                <w:sz w:val="18"/>
                <w:szCs w:val="18"/>
              </w:rPr>
              <w:t>Paragraphs 1-2</w:t>
            </w:r>
          </w:p>
          <w:p w14:paraId="44702436" w14:textId="77777777" w:rsidR="00454C23" w:rsidRDefault="00454C23" w:rsidP="00954D5E">
            <w:pPr>
              <w:autoSpaceDE w:val="0"/>
              <w:autoSpaceDN w:val="0"/>
              <w:adjustRightInd w:val="0"/>
              <w:spacing w:before="60" w:after="60"/>
              <w:rPr>
                <w:rFonts w:ascii="Arial" w:hAnsi="Arial" w:cs="Arial"/>
                <w:sz w:val="18"/>
                <w:szCs w:val="18"/>
              </w:rPr>
            </w:pPr>
          </w:p>
          <w:p w14:paraId="6F963161" w14:textId="77777777" w:rsidR="00454C23" w:rsidRDefault="00454C23" w:rsidP="00954D5E">
            <w:pPr>
              <w:autoSpaceDE w:val="0"/>
              <w:autoSpaceDN w:val="0"/>
              <w:adjustRightInd w:val="0"/>
              <w:spacing w:before="60" w:after="60"/>
              <w:rPr>
                <w:rFonts w:ascii="Arial" w:hAnsi="Arial" w:cs="Arial"/>
                <w:sz w:val="18"/>
                <w:szCs w:val="18"/>
              </w:rPr>
            </w:pPr>
          </w:p>
          <w:p w14:paraId="1962B53B" w14:textId="77777777" w:rsidR="00454C23" w:rsidRDefault="00454C23" w:rsidP="00954D5E">
            <w:pPr>
              <w:autoSpaceDE w:val="0"/>
              <w:autoSpaceDN w:val="0"/>
              <w:adjustRightInd w:val="0"/>
              <w:spacing w:before="60" w:after="60"/>
              <w:rPr>
                <w:rFonts w:ascii="Arial" w:hAnsi="Arial" w:cs="Arial"/>
                <w:sz w:val="18"/>
                <w:szCs w:val="18"/>
              </w:rPr>
            </w:pPr>
          </w:p>
          <w:p w14:paraId="7EE7AC92" w14:textId="77777777" w:rsidR="00454C23" w:rsidRDefault="00454C23" w:rsidP="00954D5E">
            <w:pPr>
              <w:autoSpaceDE w:val="0"/>
              <w:autoSpaceDN w:val="0"/>
              <w:adjustRightInd w:val="0"/>
              <w:spacing w:before="60" w:after="60"/>
              <w:rPr>
                <w:rFonts w:ascii="Arial" w:hAnsi="Arial" w:cs="Arial"/>
                <w:sz w:val="18"/>
                <w:szCs w:val="18"/>
              </w:rPr>
            </w:pPr>
          </w:p>
          <w:p w14:paraId="248E7658" w14:textId="77777777" w:rsidR="00454C23" w:rsidRDefault="00454C23" w:rsidP="00954D5E">
            <w:pPr>
              <w:autoSpaceDE w:val="0"/>
              <w:autoSpaceDN w:val="0"/>
              <w:adjustRightInd w:val="0"/>
              <w:spacing w:before="60" w:after="60"/>
              <w:rPr>
                <w:rFonts w:ascii="Arial" w:hAnsi="Arial" w:cs="Arial"/>
                <w:sz w:val="18"/>
                <w:szCs w:val="18"/>
              </w:rPr>
            </w:pPr>
          </w:p>
          <w:p w14:paraId="38328CF0" w14:textId="77777777" w:rsidR="00454C23" w:rsidRDefault="00454C23" w:rsidP="00954D5E">
            <w:pPr>
              <w:autoSpaceDE w:val="0"/>
              <w:autoSpaceDN w:val="0"/>
              <w:adjustRightInd w:val="0"/>
              <w:spacing w:before="60" w:after="60"/>
              <w:rPr>
                <w:rFonts w:ascii="Arial" w:hAnsi="Arial" w:cs="Arial"/>
                <w:sz w:val="18"/>
                <w:szCs w:val="18"/>
              </w:rPr>
            </w:pPr>
          </w:p>
          <w:p w14:paraId="1E7A2720" w14:textId="77777777" w:rsidR="00454C23" w:rsidRDefault="00454C23" w:rsidP="00954D5E">
            <w:pPr>
              <w:autoSpaceDE w:val="0"/>
              <w:autoSpaceDN w:val="0"/>
              <w:adjustRightInd w:val="0"/>
              <w:spacing w:before="60" w:after="60"/>
              <w:rPr>
                <w:rFonts w:ascii="Arial" w:hAnsi="Arial" w:cs="Arial"/>
                <w:sz w:val="18"/>
                <w:szCs w:val="18"/>
              </w:rPr>
            </w:pPr>
          </w:p>
          <w:p w14:paraId="40218BCC" w14:textId="77777777" w:rsidR="00454C23" w:rsidRDefault="00454C23" w:rsidP="00954D5E">
            <w:pPr>
              <w:autoSpaceDE w:val="0"/>
              <w:autoSpaceDN w:val="0"/>
              <w:adjustRightInd w:val="0"/>
              <w:spacing w:before="60" w:after="60"/>
              <w:rPr>
                <w:rFonts w:ascii="Arial" w:hAnsi="Arial" w:cs="Arial"/>
                <w:sz w:val="18"/>
                <w:szCs w:val="18"/>
              </w:rPr>
            </w:pPr>
          </w:p>
          <w:p w14:paraId="3E5E22FE" w14:textId="77777777" w:rsidR="00454C23" w:rsidRDefault="00454C23" w:rsidP="00954D5E">
            <w:pPr>
              <w:autoSpaceDE w:val="0"/>
              <w:autoSpaceDN w:val="0"/>
              <w:adjustRightInd w:val="0"/>
              <w:spacing w:before="60" w:after="60"/>
              <w:rPr>
                <w:rFonts w:ascii="Arial" w:hAnsi="Arial" w:cs="Arial"/>
                <w:sz w:val="18"/>
                <w:szCs w:val="18"/>
              </w:rPr>
            </w:pPr>
          </w:p>
          <w:p w14:paraId="61547270" w14:textId="77777777" w:rsidR="00454C23" w:rsidRDefault="00454C23" w:rsidP="00954D5E">
            <w:pPr>
              <w:autoSpaceDE w:val="0"/>
              <w:autoSpaceDN w:val="0"/>
              <w:adjustRightInd w:val="0"/>
              <w:spacing w:before="60" w:after="60"/>
              <w:rPr>
                <w:rFonts w:ascii="Arial" w:hAnsi="Arial" w:cs="Arial"/>
                <w:sz w:val="18"/>
                <w:szCs w:val="18"/>
              </w:rPr>
            </w:pPr>
          </w:p>
          <w:p w14:paraId="2DA1BA9F" w14:textId="77777777" w:rsidR="00454C23" w:rsidRDefault="00454C23" w:rsidP="00954D5E">
            <w:pPr>
              <w:autoSpaceDE w:val="0"/>
              <w:autoSpaceDN w:val="0"/>
              <w:adjustRightInd w:val="0"/>
              <w:spacing w:before="60" w:after="60"/>
              <w:rPr>
                <w:rFonts w:ascii="Arial" w:hAnsi="Arial" w:cs="Arial"/>
                <w:sz w:val="18"/>
                <w:szCs w:val="18"/>
              </w:rPr>
            </w:pPr>
          </w:p>
          <w:p w14:paraId="654FF835" w14:textId="77777777" w:rsidR="00454C23" w:rsidRDefault="00454C23" w:rsidP="00954D5E">
            <w:pPr>
              <w:autoSpaceDE w:val="0"/>
              <w:autoSpaceDN w:val="0"/>
              <w:adjustRightInd w:val="0"/>
              <w:spacing w:before="60" w:after="60"/>
              <w:rPr>
                <w:rFonts w:ascii="Arial" w:hAnsi="Arial" w:cs="Arial"/>
                <w:sz w:val="18"/>
                <w:szCs w:val="18"/>
              </w:rPr>
            </w:pPr>
          </w:p>
          <w:p w14:paraId="35CAD070" w14:textId="77777777" w:rsidR="00AC2FAA" w:rsidRDefault="00AC2FAA" w:rsidP="00954D5E">
            <w:pPr>
              <w:autoSpaceDE w:val="0"/>
              <w:autoSpaceDN w:val="0"/>
              <w:adjustRightInd w:val="0"/>
              <w:spacing w:before="60" w:after="60"/>
              <w:rPr>
                <w:rFonts w:ascii="Arial" w:hAnsi="Arial" w:cs="Arial"/>
                <w:sz w:val="18"/>
                <w:szCs w:val="18"/>
              </w:rPr>
            </w:pPr>
          </w:p>
          <w:p w14:paraId="005152A7" w14:textId="77777777" w:rsidR="00AC2FAA" w:rsidRDefault="00AC2FAA" w:rsidP="00954D5E">
            <w:pPr>
              <w:autoSpaceDE w:val="0"/>
              <w:autoSpaceDN w:val="0"/>
              <w:adjustRightInd w:val="0"/>
              <w:spacing w:before="60" w:after="60"/>
              <w:rPr>
                <w:rFonts w:ascii="Arial" w:hAnsi="Arial" w:cs="Arial"/>
                <w:sz w:val="18"/>
                <w:szCs w:val="18"/>
              </w:rPr>
            </w:pPr>
          </w:p>
          <w:p w14:paraId="6B4B9100" w14:textId="59C4BBA2" w:rsidR="00454C23" w:rsidRPr="00227F90" w:rsidRDefault="00454C23" w:rsidP="00954D5E">
            <w:pPr>
              <w:autoSpaceDE w:val="0"/>
              <w:autoSpaceDN w:val="0"/>
              <w:adjustRightInd w:val="0"/>
              <w:spacing w:before="60" w:after="60"/>
              <w:rPr>
                <w:rFonts w:ascii="Arial" w:hAnsi="Arial" w:cs="Arial"/>
                <w:sz w:val="18"/>
                <w:szCs w:val="18"/>
              </w:rPr>
            </w:pPr>
            <w:r>
              <w:rPr>
                <w:rFonts w:ascii="Arial" w:hAnsi="Arial" w:cs="Arial"/>
                <w:sz w:val="18"/>
                <w:szCs w:val="18"/>
              </w:rPr>
              <w:t>Paragraphs 2</w:t>
            </w:r>
          </w:p>
        </w:tc>
      </w:tr>
      <w:tr w:rsidR="00240246" w:rsidRPr="00227F90" w14:paraId="03415CF7" w14:textId="77777777" w:rsidTr="00EE683C">
        <w:tc>
          <w:tcPr>
            <w:tcW w:w="8910" w:type="dxa"/>
            <w:gridSpan w:val="3"/>
            <w:tcBorders>
              <w:top w:val="single" w:sz="8" w:space="0" w:color="921F49"/>
              <w:bottom w:val="single" w:sz="8" w:space="0" w:color="4A8783"/>
              <w:right w:val="single" w:sz="8" w:space="0" w:color="921F49"/>
            </w:tcBorders>
          </w:tcPr>
          <w:p w14:paraId="6937AFD4" w14:textId="6516BEDA" w:rsidR="00454C23" w:rsidRPr="00FF111A" w:rsidRDefault="00454C23" w:rsidP="00327098">
            <w:pPr>
              <w:pStyle w:val="NormalWeb"/>
              <w:spacing w:before="0" w:beforeAutospacing="0" w:after="0" w:afterAutospacing="0"/>
              <w:jc w:val="both"/>
              <w:rPr>
                <w:rFonts w:asciiTheme="minorBidi" w:hAnsiTheme="minorBidi" w:cstheme="minorBidi"/>
                <w:sz w:val="18"/>
                <w:szCs w:val="18"/>
              </w:rPr>
            </w:pPr>
            <w:r w:rsidRPr="00454C23">
              <w:rPr>
                <w:rFonts w:ascii="Arial" w:hAnsi="Arial" w:cs="Arial"/>
                <w:b/>
                <w:bCs/>
                <w:noProof/>
                <w:sz w:val="18"/>
                <w:szCs w:val="18"/>
                <w:lang w:eastAsia="en-GB"/>
              </w:rPr>
              <w:lastRenderedPageBreak/>
              <w:t xml:space="preserve">Objectives             </w:t>
            </w:r>
            <w:r>
              <w:rPr>
                <w:rFonts w:ascii="Arial" w:hAnsi="Arial" w:cs="Arial"/>
                <w:b/>
                <w:bCs/>
                <w:noProof/>
                <w:sz w:val="18"/>
                <w:szCs w:val="18"/>
                <w:lang w:eastAsia="en-GB"/>
              </w:rPr>
              <w:t xml:space="preserve">   </w:t>
            </w:r>
            <w:r w:rsidR="00327098">
              <w:rPr>
                <w:rFonts w:ascii="Arial" w:hAnsi="Arial" w:cs="Arial"/>
                <w:b/>
                <w:bCs/>
                <w:noProof/>
                <w:sz w:val="18"/>
                <w:szCs w:val="18"/>
                <w:lang w:eastAsia="en-GB"/>
              </w:rPr>
              <w:t xml:space="preserve"> </w:t>
            </w:r>
            <w:r w:rsidRPr="00454C23">
              <w:rPr>
                <w:rFonts w:ascii="Arial" w:hAnsi="Arial" w:cs="Arial"/>
                <w:b/>
                <w:bCs/>
                <w:noProof/>
                <w:sz w:val="18"/>
                <w:szCs w:val="18"/>
                <w:lang w:eastAsia="en-GB"/>
              </w:rPr>
              <w:t>4</w:t>
            </w:r>
            <w:r>
              <w:rPr>
                <w:rFonts w:ascii="Arial" w:hAnsi="Arial" w:cs="Arial"/>
                <w:b/>
                <w:bCs/>
                <w:noProof/>
                <w:sz w:val="18"/>
                <w:szCs w:val="18"/>
                <w:lang w:eastAsia="en-GB"/>
              </w:rPr>
              <w:t xml:space="preserve">         </w:t>
            </w:r>
            <w:r w:rsidR="00327098">
              <w:rPr>
                <w:rFonts w:ascii="Arial" w:hAnsi="Arial" w:cs="Arial"/>
                <w:b/>
                <w:bCs/>
                <w:noProof/>
                <w:sz w:val="18"/>
                <w:szCs w:val="18"/>
                <w:lang w:eastAsia="en-GB"/>
              </w:rPr>
              <w:t xml:space="preserve">   </w:t>
            </w:r>
            <w:r w:rsidRPr="00FF111A">
              <w:rPr>
                <w:rFonts w:asciiTheme="minorBidi" w:hAnsiTheme="minorBidi" w:cstheme="minorBidi"/>
                <w:sz w:val="18"/>
                <w:szCs w:val="18"/>
              </w:rPr>
              <w:t xml:space="preserve"> In this study, we examined the effect of co-administration of morphine and ultra-low-dose naloxone on BDNF and KCC2 expression in dorsal horn neurons in morphine-treated rats. </w:t>
            </w:r>
          </w:p>
          <w:p w14:paraId="1399FC5E" w14:textId="186136F4" w:rsidR="00240246" w:rsidRPr="00454C23" w:rsidRDefault="00240246" w:rsidP="00214F3D">
            <w:pPr>
              <w:autoSpaceDE w:val="0"/>
              <w:autoSpaceDN w:val="0"/>
              <w:adjustRightInd w:val="0"/>
              <w:spacing w:before="60" w:after="60"/>
              <w:rPr>
                <w:rFonts w:ascii="Arial" w:hAnsi="Arial" w:cs="Arial"/>
                <w:b/>
                <w:bCs/>
                <w:sz w:val="18"/>
                <w:szCs w:val="18"/>
              </w:rPr>
            </w:pPr>
          </w:p>
        </w:tc>
        <w:tc>
          <w:tcPr>
            <w:tcW w:w="1530" w:type="dxa"/>
            <w:tcBorders>
              <w:top w:val="single" w:sz="8" w:space="0" w:color="921F49"/>
              <w:left w:val="single" w:sz="8" w:space="0" w:color="921F49"/>
              <w:bottom w:val="single" w:sz="8" w:space="0" w:color="4A8783"/>
            </w:tcBorders>
          </w:tcPr>
          <w:p w14:paraId="15734C43" w14:textId="24574474" w:rsidR="00240246" w:rsidRPr="00227F90" w:rsidRDefault="00AC2FAA" w:rsidP="00214F3D">
            <w:pPr>
              <w:autoSpaceDE w:val="0"/>
              <w:autoSpaceDN w:val="0"/>
              <w:adjustRightInd w:val="0"/>
              <w:spacing w:before="60" w:after="60"/>
              <w:rPr>
                <w:rFonts w:ascii="Arial" w:hAnsi="Arial" w:cs="Arial"/>
                <w:sz w:val="18"/>
                <w:szCs w:val="18"/>
              </w:rPr>
            </w:pPr>
            <w:r>
              <w:rPr>
                <w:rFonts w:ascii="Arial" w:hAnsi="Arial" w:cs="Arial"/>
                <w:sz w:val="18"/>
                <w:szCs w:val="18"/>
              </w:rPr>
              <w:t xml:space="preserve">Paragraph </w:t>
            </w:r>
            <w:r w:rsidR="001B23FE">
              <w:rPr>
                <w:rFonts w:ascii="Arial" w:hAnsi="Arial" w:cs="Arial"/>
                <w:sz w:val="18"/>
                <w:szCs w:val="18"/>
              </w:rPr>
              <w:t>2</w:t>
            </w:r>
          </w:p>
        </w:tc>
      </w:tr>
      <w:tr w:rsidR="00214F3D" w:rsidRPr="00227F90" w14:paraId="52678433" w14:textId="77777777" w:rsidTr="00EE683C">
        <w:tc>
          <w:tcPr>
            <w:tcW w:w="8910" w:type="dxa"/>
            <w:gridSpan w:val="3"/>
            <w:tcBorders>
              <w:top w:val="single" w:sz="8" w:space="0" w:color="4A8783"/>
              <w:bottom w:val="single" w:sz="8" w:space="0" w:color="4A8783"/>
              <w:right w:val="single" w:sz="8" w:space="0" w:color="4A8783"/>
            </w:tcBorders>
            <w:shd w:val="clear" w:color="auto" w:fill="4A8783"/>
          </w:tcPr>
          <w:p w14:paraId="7D98332A" w14:textId="77777777"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METHODS</w:t>
            </w:r>
          </w:p>
        </w:tc>
        <w:tc>
          <w:tcPr>
            <w:tcW w:w="1530" w:type="dxa"/>
            <w:tcBorders>
              <w:top w:val="single" w:sz="8" w:space="0" w:color="4A8783"/>
              <w:left w:val="single" w:sz="8" w:space="0" w:color="4A8783"/>
              <w:bottom w:val="single" w:sz="8" w:space="0" w:color="4A8783"/>
            </w:tcBorders>
            <w:shd w:val="clear" w:color="auto" w:fill="4A8783"/>
          </w:tcPr>
          <w:p w14:paraId="52EFBE61" w14:textId="77777777" w:rsidR="00214F3D" w:rsidRPr="00227F90" w:rsidRDefault="00214F3D" w:rsidP="00214F3D">
            <w:pPr>
              <w:autoSpaceDE w:val="0"/>
              <w:autoSpaceDN w:val="0"/>
              <w:adjustRightInd w:val="0"/>
              <w:spacing w:before="60" w:after="60"/>
              <w:rPr>
                <w:rFonts w:ascii="Arial" w:hAnsi="Arial" w:cs="Arial"/>
                <w:sz w:val="18"/>
                <w:szCs w:val="18"/>
              </w:rPr>
            </w:pPr>
          </w:p>
        </w:tc>
      </w:tr>
      <w:tr w:rsidR="00502FCD" w:rsidRPr="00227F90" w14:paraId="71AF5264" w14:textId="77777777" w:rsidTr="00EE683C">
        <w:tc>
          <w:tcPr>
            <w:tcW w:w="8910" w:type="dxa"/>
            <w:gridSpan w:val="3"/>
            <w:tcBorders>
              <w:top w:val="single" w:sz="8" w:space="0" w:color="4A8783"/>
              <w:bottom w:val="single" w:sz="8" w:space="0" w:color="4A8783"/>
              <w:right w:val="single" w:sz="8" w:space="0" w:color="4A8783"/>
            </w:tcBorders>
          </w:tcPr>
          <w:p w14:paraId="6847871F" w14:textId="339BCF7B" w:rsidR="00502FCD" w:rsidRPr="009168E6" w:rsidRDefault="009168E6" w:rsidP="009168E6">
            <w:pPr>
              <w:autoSpaceDE w:val="0"/>
              <w:autoSpaceDN w:val="0"/>
              <w:adjustRightInd w:val="0"/>
              <w:spacing w:before="60" w:after="60"/>
              <w:rPr>
                <w:rFonts w:ascii="Arial" w:hAnsi="Arial" w:cs="Arial"/>
                <w:b/>
                <w:bCs/>
                <w:sz w:val="18"/>
                <w:szCs w:val="18"/>
              </w:rPr>
            </w:pPr>
            <w:r w:rsidRPr="009168E6">
              <w:rPr>
                <w:rFonts w:ascii="Arial" w:hAnsi="Arial" w:cs="Arial"/>
                <w:b/>
                <w:bCs/>
                <w:noProof/>
                <w:sz w:val="18"/>
                <w:szCs w:val="18"/>
                <w:lang w:eastAsia="en-GB"/>
              </w:rPr>
              <w:t>Ethical Statement</w:t>
            </w:r>
            <w:r>
              <w:rPr>
                <w:rFonts w:ascii="Arial" w:hAnsi="Arial" w:cs="Arial"/>
                <w:b/>
                <w:bCs/>
                <w:noProof/>
                <w:sz w:val="18"/>
                <w:szCs w:val="18"/>
                <w:lang w:eastAsia="en-GB"/>
              </w:rPr>
              <w:t xml:space="preserve">             5         </w:t>
            </w:r>
            <w:r w:rsidRPr="004B7398">
              <w:rPr>
                <w:rFonts w:asciiTheme="minorBidi" w:hAnsiTheme="minorBidi"/>
                <w:sz w:val="18"/>
                <w:szCs w:val="18"/>
              </w:rPr>
              <w:t>All experimental protocols were followed by guidelines on the ethical standard for investigation of morphine tolerance and hyperalgesia in animals by the Animal Ethics Committee of Shahid Beheshti University of Medical Sciences, Tehran, Iran (IR.SBMU.MSP.REC.1397.272).</w:t>
            </w:r>
          </w:p>
        </w:tc>
        <w:tc>
          <w:tcPr>
            <w:tcW w:w="1530" w:type="dxa"/>
            <w:tcBorders>
              <w:top w:val="single" w:sz="8" w:space="0" w:color="4A8783"/>
              <w:left w:val="single" w:sz="8" w:space="0" w:color="4A8783"/>
              <w:bottom w:val="single" w:sz="8" w:space="0" w:color="4A8783"/>
            </w:tcBorders>
          </w:tcPr>
          <w:p w14:paraId="1B178E00" w14:textId="6AA39F86" w:rsidR="00502FCD" w:rsidRPr="00227F90" w:rsidRDefault="00ED1075" w:rsidP="00214F3D">
            <w:pPr>
              <w:autoSpaceDE w:val="0"/>
              <w:autoSpaceDN w:val="0"/>
              <w:adjustRightInd w:val="0"/>
              <w:spacing w:before="60" w:after="60"/>
              <w:rPr>
                <w:rFonts w:ascii="Arial" w:hAnsi="Arial" w:cs="Arial"/>
                <w:sz w:val="18"/>
                <w:szCs w:val="18"/>
              </w:rPr>
            </w:pPr>
            <w:r>
              <w:rPr>
                <w:rFonts w:ascii="Arial" w:hAnsi="Arial" w:cs="Arial"/>
                <w:sz w:val="18"/>
                <w:szCs w:val="18"/>
              </w:rPr>
              <w:t>Paragraph 1</w:t>
            </w:r>
          </w:p>
        </w:tc>
      </w:tr>
      <w:tr w:rsidR="00502FCD" w:rsidRPr="00227F90" w14:paraId="500B230F" w14:textId="77777777" w:rsidTr="00EE683C">
        <w:tc>
          <w:tcPr>
            <w:tcW w:w="8910" w:type="dxa"/>
            <w:gridSpan w:val="3"/>
            <w:tcBorders>
              <w:top w:val="single" w:sz="8" w:space="0" w:color="4A8783"/>
              <w:bottom w:val="single" w:sz="8" w:space="0" w:color="4A8783"/>
              <w:right w:val="single" w:sz="8" w:space="0" w:color="4A8783"/>
            </w:tcBorders>
          </w:tcPr>
          <w:p w14:paraId="6C0E5B09" w14:textId="1C3C8C9E" w:rsidR="00642640" w:rsidRPr="007722C1" w:rsidRDefault="00833AC6" w:rsidP="007722C1">
            <w:pPr>
              <w:pStyle w:val="NoSpacing"/>
              <w:rPr>
                <w:rFonts w:asciiTheme="minorBidi" w:hAnsiTheme="minorBidi"/>
                <w:sz w:val="18"/>
                <w:szCs w:val="18"/>
              </w:rPr>
            </w:pPr>
            <w:r w:rsidRPr="00833AC6">
              <w:rPr>
                <w:rFonts w:ascii="Arial" w:hAnsi="Arial" w:cs="Arial"/>
                <w:b/>
                <w:bCs/>
                <w:noProof/>
                <w:sz w:val="18"/>
                <w:szCs w:val="18"/>
                <w:lang w:eastAsia="en-GB"/>
              </w:rPr>
              <w:t xml:space="preserve">Study Design               </w:t>
            </w:r>
            <w:r>
              <w:rPr>
                <w:rFonts w:ascii="Arial" w:hAnsi="Arial" w:cs="Arial"/>
                <w:b/>
                <w:bCs/>
                <w:noProof/>
                <w:sz w:val="18"/>
                <w:szCs w:val="18"/>
                <w:lang w:eastAsia="en-GB"/>
              </w:rPr>
              <w:t xml:space="preserve">     </w:t>
            </w:r>
            <w:r w:rsidRPr="00B574BF">
              <w:rPr>
                <w:rFonts w:ascii="Arial" w:hAnsi="Arial" w:cs="Arial"/>
                <w:b/>
                <w:bCs/>
                <w:noProof/>
                <w:sz w:val="18"/>
                <w:szCs w:val="18"/>
                <w:lang w:eastAsia="en-GB"/>
              </w:rPr>
              <w:t xml:space="preserve">6   </w:t>
            </w:r>
            <w:r w:rsidR="008E6F57">
              <w:rPr>
                <w:rFonts w:ascii="Arial" w:hAnsi="Arial" w:cs="Arial"/>
                <w:b/>
                <w:bCs/>
                <w:noProof/>
                <w:sz w:val="18"/>
                <w:szCs w:val="18"/>
                <w:lang w:eastAsia="en-GB"/>
              </w:rPr>
              <w:t>a</w:t>
            </w:r>
            <w:r w:rsidR="001B23FE">
              <w:rPr>
                <w:rFonts w:ascii="Arial" w:hAnsi="Arial" w:cs="Arial"/>
                <w:b/>
                <w:bCs/>
                <w:noProof/>
                <w:sz w:val="18"/>
                <w:szCs w:val="18"/>
                <w:lang w:eastAsia="en-GB"/>
              </w:rPr>
              <w:t xml:space="preserve">    </w:t>
            </w:r>
            <w:r w:rsidR="001B23FE" w:rsidRPr="004D703F">
              <w:rPr>
                <w:rFonts w:asciiTheme="minorBidi" w:hAnsiTheme="minorBidi"/>
                <w:sz w:val="18"/>
                <w:szCs w:val="18"/>
              </w:rPr>
              <w:t xml:space="preserve"> All experimental protocols were followed by guidelines on the ethical standard for investigation of morphine tolerance and hyperalgesia in animals by the Animal Ethics Committee of Shahid Beheshti University of Medical Sciences, Tehran, Iran (IR.SBMU.MSP.REC.1397.272).</w:t>
            </w:r>
            <w:r w:rsidR="001B23FE" w:rsidRPr="004D703F">
              <w:rPr>
                <w:rFonts w:asciiTheme="minorBidi" w:hAnsiTheme="minorBidi"/>
                <w:color w:val="C0504D" w:themeColor="accent2"/>
                <w:sz w:val="18"/>
                <w:szCs w:val="18"/>
              </w:rPr>
              <w:t xml:space="preserve">  </w:t>
            </w:r>
            <w:r w:rsidR="001B23FE" w:rsidRPr="004D703F">
              <w:rPr>
                <w:rFonts w:asciiTheme="minorBidi" w:hAnsiTheme="minorBidi"/>
                <w:sz w:val="18"/>
                <w:szCs w:val="18"/>
              </w:rPr>
              <w:t>Experiments were done on forty-eight adult male Wistar rats (Pasture Institute – Tehran, Iran), weight 180–220g that were housed three rats per cage and placed under a 12 h light/dark cycle in a room with controlled temperature (22 ± 1 °C) for ten days. Animals had ad libitum access to food and water. Animals were allowed to habituate to the housing circumstances for several days before the experiments began. Behavioral studies were performed in a quiet condition</w:t>
            </w:r>
            <w:r w:rsidR="001B23FE" w:rsidRPr="004D703F">
              <w:rPr>
                <w:rFonts w:asciiTheme="minorBidi" w:hAnsiTheme="minorBidi"/>
                <w:color w:val="0070C0"/>
                <w:sz w:val="18"/>
                <w:szCs w:val="18"/>
              </w:rPr>
              <w:t>.</w:t>
            </w:r>
          </w:p>
          <w:p w14:paraId="44688821" w14:textId="5641498A" w:rsidR="001B23FE" w:rsidRPr="004D703F" w:rsidRDefault="00642640" w:rsidP="00642640">
            <w:pPr>
              <w:pStyle w:val="NormalWeb"/>
              <w:spacing w:before="0" w:beforeAutospacing="0" w:after="0" w:afterAutospacing="0"/>
              <w:jc w:val="both"/>
              <w:rPr>
                <w:rFonts w:asciiTheme="minorBidi" w:hAnsiTheme="minorBidi" w:cstheme="minorBidi"/>
                <w:sz w:val="18"/>
                <w:szCs w:val="18"/>
              </w:rPr>
            </w:pPr>
            <w:r>
              <w:rPr>
                <w:rFonts w:asciiTheme="minorBidi" w:hAnsiTheme="minorBidi" w:cstheme="minorBidi"/>
                <w:sz w:val="18"/>
                <w:szCs w:val="18"/>
              </w:rPr>
              <w:t xml:space="preserve">                                                 </w:t>
            </w:r>
            <w:r w:rsidRPr="00642640">
              <w:rPr>
                <w:rFonts w:asciiTheme="minorBidi" w:hAnsiTheme="minorBidi" w:cstheme="minorBidi"/>
                <w:b/>
                <w:bCs/>
                <w:sz w:val="18"/>
                <w:szCs w:val="18"/>
              </w:rPr>
              <w:t>b</w:t>
            </w:r>
            <w:r w:rsidRPr="00642640">
              <w:rPr>
                <w:rFonts w:asciiTheme="minorBidi" w:hAnsiTheme="minorBidi" w:cstheme="minorBidi"/>
                <w:b/>
                <w:bCs/>
                <w:color w:val="0070C0"/>
                <w:sz w:val="18"/>
                <w:szCs w:val="18"/>
              </w:rPr>
              <w:t>.</w:t>
            </w:r>
            <w:r w:rsidR="001B23FE" w:rsidRPr="004D703F">
              <w:rPr>
                <w:rFonts w:asciiTheme="minorBidi" w:hAnsiTheme="minorBidi" w:cstheme="minorBidi"/>
                <w:sz w:val="18"/>
                <w:szCs w:val="18"/>
              </w:rPr>
              <w:t xml:space="preserve"> Efforts were made to use the minimum number of animals necessary to achieve statistical </w:t>
            </w:r>
            <w:proofErr w:type="spellStart"/>
            <w:r w:rsidR="001B23FE" w:rsidRPr="004D703F">
              <w:rPr>
                <w:rFonts w:asciiTheme="minorBidi" w:hAnsiTheme="minorBidi" w:cstheme="minorBidi"/>
                <w:sz w:val="18"/>
                <w:szCs w:val="18"/>
              </w:rPr>
              <w:t>significance.Rats</w:t>
            </w:r>
            <w:proofErr w:type="spellEnd"/>
            <w:r w:rsidR="001B23FE" w:rsidRPr="004D703F">
              <w:rPr>
                <w:rFonts w:asciiTheme="minorBidi" w:hAnsiTheme="minorBidi" w:cstheme="minorBidi"/>
                <w:sz w:val="18"/>
                <w:szCs w:val="18"/>
              </w:rPr>
              <w:t xml:space="preserve"> were randomly separated into 8 groups with 6 rats in each group and divided to tolerance and OIH groups: </w:t>
            </w:r>
            <w:proofErr w:type="spellStart"/>
            <w:r w:rsidR="001B23FE" w:rsidRPr="004D703F">
              <w:rPr>
                <w:rFonts w:asciiTheme="minorBidi" w:hAnsiTheme="minorBidi" w:cstheme="minorBidi"/>
                <w:sz w:val="18"/>
                <w:szCs w:val="18"/>
              </w:rPr>
              <w:t>i</w:t>
            </w:r>
            <w:proofErr w:type="spellEnd"/>
            <w:r w:rsidR="001B23FE" w:rsidRPr="004D703F">
              <w:rPr>
                <w:rFonts w:asciiTheme="minorBidi" w:hAnsiTheme="minorBidi" w:cstheme="minorBidi"/>
                <w:sz w:val="18"/>
                <w:szCs w:val="18"/>
              </w:rPr>
              <w:t xml:space="preserve">) sham, ii) morphine (10 mg), iii) treatment group: morphine10 mg and naloxone (NAL, 15 ng), and iv) naloxone (15 ng) and saline (SAL) Table 1. </w:t>
            </w:r>
          </w:p>
          <w:p w14:paraId="6DB08FA9" w14:textId="7FACEF42" w:rsidR="001B23FE" w:rsidRPr="004D703F" w:rsidRDefault="001B23FE" w:rsidP="001B23FE">
            <w:pPr>
              <w:pStyle w:val="NoSpacing"/>
              <w:rPr>
                <w:rFonts w:asciiTheme="minorBidi" w:hAnsiTheme="minorBidi"/>
                <w:sz w:val="18"/>
                <w:szCs w:val="18"/>
              </w:rPr>
            </w:pPr>
            <w:r w:rsidRPr="004D703F">
              <w:rPr>
                <w:rFonts w:asciiTheme="minorBidi" w:hAnsiTheme="minorBidi"/>
                <w:sz w:val="18"/>
                <w:szCs w:val="18"/>
              </w:rPr>
              <w:t xml:space="preserve">In the sham group, rats received saline, in the morphine group, rats received (IP)10 mg morphine </w:t>
            </w:r>
            <w:proofErr w:type="spellStart"/>
            <w:r w:rsidRPr="004D703F">
              <w:rPr>
                <w:rFonts w:asciiTheme="minorBidi" w:hAnsiTheme="minorBidi"/>
                <w:sz w:val="18"/>
                <w:szCs w:val="18"/>
              </w:rPr>
              <w:t>i.p.</w:t>
            </w:r>
            <w:proofErr w:type="spellEnd"/>
            <w:r w:rsidRPr="004D703F">
              <w:rPr>
                <w:rFonts w:asciiTheme="minorBidi" w:hAnsiTheme="minorBidi"/>
                <w:sz w:val="18"/>
                <w:szCs w:val="18"/>
              </w:rPr>
              <w:t xml:space="preserve">, in the treatment group, rats received 15ng ULD of naloxone </w:t>
            </w:r>
            <w:proofErr w:type="spellStart"/>
            <w:r w:rsidRPr="004D703F">
              <w:rPr>
                <w:rFonts w:asciiTheme="minorBidi" w:hAnsiTheme="minorBidi"/>
                <w:sz w:val="18"/>
                <w:szCs w:val="18"/>
              </w:rPr>
              <w:t>i.p.</w:t>
            </w:r>
            <w:proofErr w:type="spellEnd"/>
            <w:r w:rsidRPr="004D703F">
              <w:rPr>
                <w:rFonts w:asciiTheme="minorBidi" w:hAnsiTheme="minorBidi"/>
                <w:sz w:val="18"/>
                <w:szCs w:val="18"/>
              </w:rPr>
              <w:t>, along with morphine, and in the saline group, rats received ULD of naloxone along with saline for 8 consecutive days. Behavioral tests were performed to evaluate tolerance on day 1 before and after the morphine injection, and days 5 and 8 by the tail-flick test (TL) (</w:t>
            </w:r>
            <w:proofErr w:type="spellStart"/>
            <w:r w:rsidRPr="004D703F">
              <w:rPr>
                <w:rFonts w:asciiTheme="minorBidi" w:hAnsiTheme="minorBidi"/>
                <w:sz w:val="18"/>
                <w:szCs w:val="18"/>
              </w:rPr>
              <w:t>Borje</w:t>
            </w:r>
            <w:proofErr w:type="spellEnd"/>
            <w:r w:rsidRPr="004D703F">
              <w:rPr>
                <w:rFonts w:asciiTheme="minorBidi" w:hAnsiTheme="minorBidi"/>
                <w:sz w:val="18"/>
                <w:szCs w:val="18"/>
              </w:rPr>
              <w:t xml:space="preserve"> </w:t>
            </w:r>
            <w:proofErr w:type="spellStart"/>
            <w:r w:rsidRPr="004D703F">
              <w:rPr>
                <w:rFonts w:asciiTheme="minorBidi" w:hAnsiTheme="minorBidi"/>
                <w:sz w:val="18"/>
                <w:szCs w:val="18"/>
              </w:rPr>
              <w:t>Sanat</w:t>
            </w:r>
            <w:proofErr w:type="spellEnd"/>
            <w:r w:rsidRPr="004D703F">
              <w:rPr>
                <w:rFonts w:asciiTheme="minorBidi" w:hAnsiTheme="minorBidi"/>
                <w:sz w:val="18"/>
                <w:szCs w:val="18"/>
              </w:rPr>
              <w:t xml:space="preserve"> Co. Iran); and on day 1 before morphine injection and day 10, 48h after last morphine injection to evaluate OIH by plantar test (</w:t>
            </w:r>
            <w:r w:rsidRPr="004D703F">
              <w:rPr>
                <w:rFonts w:asciiTheme="minorBidi" w:hAnsiTheme="minorBidi"/>
                <w:color w:val="1C1E29"/>
                <w:sz w:val="18"/>
                <w:szCs w:val="18"/>
              </w:rPr>
              <w:t>Ugo Basile, Italy)</w:t>
            </w:r>
            <w:r w:rsidRPr="004D703F">
              <w:rPr>
                <w:rFonts w:asciiTheme="minorBidi" w:hAnsiTheme="minorBidi"/>
                <w:sz w:val="18"/>
                <w:szCs w:val="18"/>
              </w:rPr>
              <w:t xml:space="preserve">. Three rats from all groups were euthanized under (2.0-2.5%) Isoflurane inhalation anesthesia on day 8 and the Lumbar segments of the spinal cord were collected (to study BDNF expression by the western blotting method). On day 10 three rats from all groups were deeply anesthetized by ketamine (10%) and xylazine (2%) </w:t>
            </w:r>
            <w:proofErr w:type="spellStart"/>
            <w:r w:rsidRPr="004D703F">
              <w:rPr>
                <w:rFonts w:asciiTheme="minorBidi" w:hAnsiTheme="minorBidi"/>
                <w:sz w:val="18"/>
                <w:szCs w:val="18"/>
              </w:rPr>
              <w:t>i.p.</w:t>
            </w:r>
            <w:proofErr w:type="spellEnd"/>
            <w:r w:rsidRPr="004D703F">
              <w:rPr>
                <w:rFonts w:asciiTheme="minorBidi" w:hAnsiTheme="minorBidi"/>
                <w:sz w:val="18"/>
                <w:szCs w:val="18"/>
              </w:rPr>
              <w:t xml:space="preserve"> and </w:t>
            </w:r>
            <w:proofErr w:type="spellStart"/>
            <w:r w:rsidRPr="004D703F">
              <w:rPr>
                <w:rFonts w:asciiTheme="minorBidi" w:hAnsiTheme="minorBidi"/>
                <w:sz w:val="18"/>
                <w:szCs w:val="18"/>
              </w:rPr>
              <w:t>transcardially</w:t>
            </w:r>
            <w:proofErr w:type="spellEnd"/>
            <w:r w:rsidRPr="004D703F">
              <w:rPr>
                <w:rFonts w:asciiTheme="minorBidi" w:hAnsiTheme="minorBidi"/>
                <w:sz w:val="18"/>
                <w:szCs w:val="18"/>
              </w:rPr>
              <w:t xml:space="preserve"> perfused with phosphate-buffered saline. Spinal cords were isolated and lumbar segments were removed (to study KCC2 expression by the immunohistochemistry method). All experiments were done from 8 am until 4 pm.  </w:t>
            </w:r>
          </w:p>
          <w:p w14:paraId="1E07F6F3" w14:textId="01D9D3A4" w:rsidR="00ED1075" w:rsidRPr="00642640" w:rsidRDefault="00642640" w:rsidP="00642640">
            <w:pPr>
              <w:pStyle w:val="NormalWeb"/>
              <w:spacing w:before="0" w:beforeAutospacing="0" w:after="0" w:afterAutospacing="0"/>
              <w:jc w:val="both"/>
              <w:rPr>
                <w:rFonts w:asciiTheme="minorBidi" w:hAnsiTheme="minorBidi" w:cstheme="minorBidi"/>
                <w:sz w:val="18"/>
                <w:szCs w:val="18"/>
              </w:rPr>
            </w:pPr>
            <w:r>
              <w:rPr>
                <w:rFonts w:asciiTheme="minorBidi" w:hAnsiTheme="minorBidi"/>
                <w:b/>
                <w:bCs/>
                <w:sz w:val="18"/>
                <w:szCs w:val="18"/>
              </w:rPr>
              <w:t xml:space="preserve">                                                 </w:t>
            </w:r>
            <w:r w:rsidR="008B4D66" w:rsidRPr="00B574BF">
              <w:rPr>
                <w:rFonts w:asciiTheme="minorBidi" w:hAnsiTheme="minorBidi"/>
                <w:b/>
                <w:bCs/>
                <w:sz w:val="18"/>
                <w:szCs w:val="18"/>
              </w:rPr>
              <w:t xml:space="preserve"> </w:t>
            </w:r>
            <w:r w:rsidR="008B4D66" w:rsidRPr="003125A0">
              <w:rPr>
                <w:rFonts w:asciiTheme="minorBidi" w:hAnsiTheme="minorBidi"/>
                <w:b/>
                <w:bCs/>
                <w:sz w:val="18"/>
                <w:szCs w:val="18"/>
              </w:rPr>
              <w:t>c</w:t>
            </w:r>
            <w:r w:rsidR="003125A0">
              <w:rPr>
                <w:rFonts w:asciiTheme="minorBidi" w:hAnsiTheme="minorBidi"/>
                <w:color w:val="1C1E29"/>
                <w:sz w:val="18"/>
                <w:szCs w:val="18"/>
              </w:rPr>
              <w:t>.</w:t>
            </w:r>
            <w:r w:rsidR="003125A0" w:rsidRPr="00921C33">
              <w:rPr>
                <w:rFonts w:asciiTheme="minorBidi" w:hAnsiTheme="minorBidi"/>
                <w:color w:val="1C1E29"/>
                <w:sz w:val="18"/>
                <w:szCs w:val="18"/>
              </w:rPr>
              <w:t xml:space="preserve"> Hargreaves Apparatus (Ugo Basile, Italy), tail-flick (</w:t>
            </w:r>
            <w:proofErr w:type="spellStart"/>
            <w:r w:rsidR="003125A0" w:rsidRPr="00921C33">
              <w:rPr>
                <w:rFonts w:asciiTheme="minorBidi" w:hAnsiTheme="minorBidi"/>
                <w:color w:val="1C1E29"/>
                <w:sz w:val="18"/>
                <w:szCs w:val="18"/>
              </w:rPr>
              <w:t>Borje</w:t>
            </w:r>
            <w:proofErr w:type="spellEnd"/>
            <w:r w:rsidR="003125A0" w:rsidRPr="00921C33">
              <w:rPr>
                <w:rFonts w:asciiTheme="minorBidi" w:hAnsiTheme="minorBidi"/>
                <w:color w:val="1C1E29"/>
                <w:sz w:val="18"/>
                <w:szCs w:val="18"/>
              </w:rPr>
              <w:t xml:space="preserve"> </w:t>
            </w:r>
            <w:proofErr w:type="spellStart"/>
            <w:r w:rsidR="003125A0" w:rsidRPr="00921C33">
              <w:rPr>
                <w:rFonts w:asciiTheme="minorBidi" w:hAnsiTheme="minorBidi"/>
                <w:color w:val="1C1E29"/>
                <w:sz w:val="18"/>
                <w:szCs w:val="18"/>
              </w:rPr>
              <w:t>Sanat</w:t>
            </w:r>
            <w:proofErr w:type="spellEnd"/>
            <w:r w:rsidR="003125A0" w:rsidRPr="00921C33">
              <w:rPr>
                <w:rFonts w:asciiTheme="minorBidi" w:hAnsiTheme="minorBidi"/>
                <w:color w:val="1C1E29"/>
                <w:sz w:val="18"/>
                <w:szCs w:val="18"/>
              </w:rPr>
              <w:t xml:space="preserve">, Iran), </w:t>
            </w:r>
            <w:r w:rsidR="003125A0">
              <w:rPr>
                <w:rFonts w:asciiTheme="minorBidi" w:hAnsiTheme="minorBidi"/>
                <w:color w:val="1C1E29"/>
                <w:sz w:val="18"/>
                <w:szCs w:val="18"/>
              </w:rPr>
              <w:t xml:space="preserve">     </w:t>
            </w:r>
            <w:r w:rsidR="003125A0" w:rsidRPr="00921C33">
              <w:rPr>
                <w:rFonts w:asciiTheme="minorBidi" w:hAnsiTheme="minorBidi"/>
                <w:color w:val="1C1E29"/>
                <w:sz w:val="18"/>
                <w:szCs w:val="18"/>
              </w:rPr>
              <w:t>centrifuge,</w:t>
            </w:r>
            <w:r w:rsidR="003125A0">
              <w:rPr>
                <w:rFonts w:asciiTheme="minorBidi" w:hAnsiTheme="minorBidi"/>
                <w:color w:val="1C1E29"/>
                <w:sz w:val="18"/>
                <w:szCs w:val="18"/>
              </w:rPr>
              <w:t xml:space="preserve"> </w:t>
            </w:r>
            <w:r w:rsidR="003125A0" w:rsidRPr="00921C33">
              <w:rPr>
                <w:rFonts w:asciiTheme="minorBidi" w:hAnsiTheme="minorBidi"/>
                <w:color w:val="1C1E29"/>
                <w:sz w:val="18"/>
                <w:szCs w:val="18"/>
              </w:rPr>
              <w:t>polyvinylidene difluoride (PVDF) membrane,</w:t>
            </w:r>
            <w:r>
              <w:rPr>
                <w:rFonts w:asciiTheme="minorBidi" w:hAnsiTheme="minorBidi"/>
                <w:color w:val="1C1E29"/>
                <w:sz w:val="18"/>
                <w:szCs w:val="18"/>
              </w:rPr>
              <w:t xml:space="preserve"> </w:t>
            </w:r>
            <w:r w:rsidR="003125A0" w:rsidRPr="00921C33">
              <w:rPr>
                <w:rFonts w:asciiTheme="minorBidi" w:hAnsiTheme="minorBidi"/>
                <w:color w:val="1C1E29"/>
                <w:sz w:val="18"/>
                <w:szCs w:val="18"/>
              </w:rPr>
              <w:t>Bio-Rad</w:t>
            </w:r>
            <w:r>
              <w:rPr>
                <w:rFonts w:asciiTheme="minorBidi" w:hAnsiTheme="minorBidi"/>
                <w:color w:val="1C1E29"/>
                <w:sz w:val="18"/>
                <w:szCs w:val="18"/>
              </w:rPr>
              <w:t xml:space="preserve"> </w:t>
            </w:r>
            <w:r w:rsidR="003125A0" w:rsidRPr="00921C33">
              <w:rPr>
                <w:rFonts w:asciiTheme="minorBidi" w:hAnsiTheme="minorBidi"/>
                <w:color w:val="1C1E29"/>
                <w:sz w:val="18"/>
                <w:szCs w:val="18"/>
              </w:rPr>
              <w:t>immunoblotting apparat</w:t>
            </w:r>
            <w:r w:rsidR="003125A0" w:rsidRPr="00921C33">
              <w:rPr>
                <w:rFonts w:asciiTheme="minorBidi" w:hAnsiTheme="minorBidi"/>
                <w:sz w:val="18"/>
                <w:szCs w:val="18"/>
              </w:rPr>
              <w:t xml:space="preserve"> ECL chemiluminescence,  </w:t>
            </w:r>
            <w:r w:rsidR="003125A0" w:rsidRPr="00921C33">
              <w:rPr>
                <w:rFonts w:asciiTheme="minorBidi" w:hAnsiTheme="minorBidi"/>
                <w:color w:val="1C1E29"/>
                <w:sz w:val="18"/>
                <w:szCs w:val="18"/>
              </w:rPr>
              <w:t>optical Olympus AX70 microscope (Japan) with a DP11 digital   camera,</w:t>
            </w:r>
            <w:r w:rsidR="003125A0" w:rsidRPr="00921C33">
              <w:rPr>
                <w:rFonts w:asciiTheme="minorBidi" w:hAnsiTheme="minorBidi"/>
                <w:sz w:val="18"/>
                <w:szCs w:val="18"/>
              </w:rPr>
              <w:t xml:space="preserve"> Morphine </w:t>
            </w:r>
            <w:r w:rsidR="00294378" w:rsidRPr="00921C33">
              <w:rPr>
                <w:rFonts w:asciiTheme="minorBidi" w:hAnsiTheme="minorBidi"/>
                <w:sz w:val="18"/>
                <w:szCs w:val="18"/>
              </w:rPr>
              <w:t>sulphate</w:t>
            </w:r>
            <w:r w:rsidR="003125A0" w:rsidRPr="00921C33">
              <w:rPr>
                <w:rFonts w:asciiTheme="minorBidi" w:hAnsiTheme="minorBidi"/>
                <w:sz w:val="18"/>
                <w:szCs w:val="18"/>
              </w:rPr>
              <w:t xml:space="preserve"> (</w:t>
            </w:r>
            <w:proofErr w:type="spellStart"/>
            <w:r w:rsidR="003125A0" w:rsidRPr="00921C33">
              <w:rPr>
                <w:rFonts w:asciiTheme="minorBidi" w:hAnsiTheme="minorBidi"/>
                <w:sz w:val="18"/>
                <w:szCs w:val="18"/>
              </w:rPr>
              <w:t>Temad</w:t>
            </w:r>
            <w:proofErr w:type="spellEnd"/>
            <w:r w:rsidR="003125A0" w:rsidRPr="00921C33">
              <w:rPr>
                <w:rFonts w:asciiTheme="minorBidi" w:hAnsiTheme="minorBidi"/>
                <w:sz w:val="18"/>
                <w:szCs w:val="18"/>
              </w:rPr>
              <w:t xml:space="preserve"> Co, Iran),  naloxone hydrochloride (Santa Cruz, USA),   Isoflurane (Primal </w:t>
            </w:r>
            <w:r w:rsidR="00294378" w:rsidRPr="00921C33">
              <w:rPr>
                <w:rFonts w:asciiTheme="minorBidi" w:hAnsiTheme="minorBidi"/>
                <w:sz w:val="18"/>
                <w:szCs w:val="18"/>
              </w:rPr>
              <w:t>Critical</w:t>
            </w:r>
            <w:r w:rsidR="003125A0" w:rsidRPr="00921C33">
              <w:rPr>
                <w:rFonts w:asciiTheme="minorBidi" w:hAnsiTheme="minorBidi"/>
                <w:sz w:val="18"/>
                <w:szCs w:val="18"/>
              </w:rPr>
              <w:t xml:space="preserve"> Care, UK),</w:t>
            </w:r>
            <w:r w:rsidR="003125A0" w:rsidRPr="00921C33">
              <w:rPr>
                <w:rFonts w:asciiTheme="minorBidi" w:hAnsiTheme="minorBidi"/>
                <w:color w:val="1C1E29"/>
                <w:sz w:val="18"/>
                <w:szCs w:val="18"/>
              </w:rPr>
              <w:t xml:space="preserve"> ketamine (Sigma, USA),  xylazine (Sigma, USA)</w:t>
            </w:r>
            <w:r w:rsidR="00486C0B">
              <w:rPr>
                <w:rFonts w:asciiTheme="minorBidi" w:hAnsiTheme="minorBidi"/>
                <w:color w:val="1C1E29"/>
                <w:sz w:val="18"/>
                <w:szCs w:val="18"/>
              </w:rPr>
              <w:t>.</w:t>
            </w:r>
          </w:p>
          <w:p w14:paraId="076ED7E3" w14:textId="2BF98249" w:rsidR="00EE683C" w:rsidRPr="00ED1075" w:rsidRDefault="00EE683C" w:rsidP="00ED1075">
            <w:pPr>
              <w:autoSpaceDE w:val="0"/>
              <w:autoSpaceDN w:val="0"/>
              <w:adjustRightInd w:val="0"/>
              <w:jc w:val="both"/>
              <w:rPr>
                <w:rFonts w:asciiTheme="minorBidi" w:hAnsiTheme="minorBidi"/>
                <w:color w:val="1C1E29"/>
                <w:sz w:val="18"/>
                <w:szCs w:val="18"/>
              </w:rPr>
            </w:pPr>
            <w:r>
              <w:rPr>
                <w:rFonts w:asciiTheme="minorBidi" w:hAnsiTheme="minorBidi"/>
                <w:b/>
                <w:bCs/>
                <w:sz w:val="18"/>
                <w:szCs w:val="18"/>
              </w:rPr>
              <w:t xml:space="preserve">                                                      </w:t>
            </w:r>
          </w:p>
          <w:p w14:paraId="425CE23A" w14:textId="2B1C0412" w:rsidR="00EE683C" w:rsidRPr="00EE683C" w:rsidRDefault="003125A0" w:rsidP="00EE683C">
            <w:pPr>
              <w:autoSpaceDE w:val="0"/>
              <w:autoSpaceDN w:val="0"/>
              <w:adjustRightInd w:val="0"/>
              <w:rPr>
                <w:rFonts w:asciiTheme="minorBidi" w:hAnsiTheme="minorBidi"/>
                <w:sz w:val="18"/>
                <w:szCs w:val="18"/>
              </w:rPr>
            </w:pPr>
            <w:r w:rsidRPr="00921C33">
              <w:rPr>
                <w:rFonts w:asciiTheme="minorBidi" w:hAnsiTheme="minorBidi"/>
                <w:b/>
                <w:bCs/>
                <w:sz w:val="18"/>
                <w:szCs w:val="18"/>
              </w:rPr>
              <w:t>Table 1. Characteristics of experimental groups</w:t>
            </w:r>
          </w:p>
          <w:p w14:paraId="005F9ED8" w14:textId="77777777" w:rsidR="00EE683C" w:rsidRPr="00EE683C" w:rsidRDefault="00EE683C" w:rsidP="00EE683C">
            <w:pPr>
              <w:autoSpaceDE w:val="0"/>
              <w:autoSpaceDN w:val="0"/>
              <w:adjustRightInd w:val="0"/>
              <w:rPr>
                <w:rFonts w:asciiTheme="minorBidi" w:hAnsiTheme="minorBidi"/>
                <w:sz w:val="18"/>
                <w:szCs w:val="18"/>
              </w:rPr>
            </w:pPr>
          </w:p>
          <w:tbl>
            <w:tblPr>
              <w:tblStyle w:val="TableGrid"/>
              <w:tblpPr w:leftFromText="180" w:rightFromText="180" w:vertAnchor="text" w:horzAnchor="page" w:tblpX="2561" w:tblpY="-55"/>
              <w:tblW w:w="8905" w:type="dxa"/>
              <w:tblLayout w:type="fixed"/>
              <w:tblLook w:val="04A0" w:firstRow="1" w:lastRow="0" w:firstColumn="1" w:lastColumn="0" w:noHBand="0" w:noVBand="1"/>
            </w:tblPr>
            <w:tblGrid>
              <w:gridCol w:w="2880"/>
              <w:gridCol w:w="2335"/>
              <w:gridCol w:w="3690"/>
            </w:tblGrid>
            <w:tr w:rsidR="00EE683C" w:rsidRPr="002C1D3B" w14:paraId="6724BBDF" w14:textId="77777777" w:rsidTr="00C84482">
              <w:trPr>
                <w:trHeight w:val="530"/>
              </w:trPr>
              <w:tc>
                <w:tcPr>
                  <w:tcW w:w="2880" w:type="dxa"/>
                  <w:tcBorders>
                    <w:left w:val="single" w:sz="4" w:space="0" w:color="auto"/>
                    <w:bottom w:val="single" w:sz="4" w:space="0" w:color="auto"/>
                  </w:tcBorders>
                </w:tcPr>
                <w:p w14:paraId="6F5D7ACA" w14:textId="77777777" w:rsidR="00EE683C" w:rsidRPr="00EE683C" w:rsidRDefault="00EE683C" w:rsidP="00EE683C">
                  <w:pPr>
                    <w:autoSpaceDE w:val="0"/>
                    <w:autoSpaceDN w:val="0"/>
                    <w:adjustRightInd w:val="0"/>
                    <w:jc w:val="center"/>
                    <w:rPr>
                      <w:rFonts w:asciiTheme="minorBidi" w:hAnsiTheme="minorBidi"/>
                      <w:sz w:val="16"/>
                      <w:szCs w:val="16"/>
                    </w:rPr>
                  </w:pPr>
                </w:p>
                <w:p w14:paraId="703C8BAC" w14:textId="77777777" w:rsidR="00EE683C" w:rsidRPr="00C84482" w:rsidRDefault="00EE683C" w:rsidP="00EE683C">
                  <w:pPr>
                    <w:autoSpaceDE w:val="0"/>
                    <w:autoSpaceDN w:val="0"/>
                    <w:adjustRightInd w:val="0"/>
                    <w:jc w:val="center"/>
                    <w:rPr>
                      <w:rFonts w:asciiTheme="minorBidi" w:hAnsiTheme="minorBidi"/>
                      <w:sz w:val="18"/>
                      <w:szCs w:val="18"/>
                    </w:rPr>
                  </w:pPr>
                  <w:r w:rsidRPr="00C84482">
                    <w:rPr>
                      <w:rFonts w:asciiTheme="minorBidi" w:hAnsiTheme="minorBidi"/>
                      <w:sz w:val="18"/>
                      <w:szCs w:val="18"/>
                    </w:rPr>
                    <w:t>Group</w:t>
                  </w:r>
                </w:p>
              </w:tc>
              <w:tc>
                <w:tcPr>
                  <w:tcW w:w="2335" w:type="dxa"/>
                  <w:tcBorders>
                    <w:bottom w:val="single" w:sz="4" w:space="0" w:color="auto"/>
                  </w:tcBorders>
                </w:tcPr>
                <w:p w14:paraId="5DC72A1D" w14:textId="77777777" w:rsidR="00EE683C" w:rsidRPr="00EE683C" w:rsidRDefault="00EE683C" w:rsidP="00EE683C">
                  <w:pPr>
                    <w:autoSpaceDE w:val="0"/>
                    <w:autoSpaceDN w:val="0"/>
                    <w:adjustRightInd w:val="0"/>
                    <w:jc w:val="center"/>
                    <w:rPr>
                      <w:rFonts w:asciiTheme="minorBidi" w:hAnsiTheme="minorBidi"/>
                      <w:sz w:val="16"/>
                      <w:szCs w:val="16"/>
                    </w:rPr>
                  </w:pPr>
                </w:p>
                <w:p w14:paraId="3CA77247" w14:textId="77777777" w:rsidR="00EE683C" w:rsidRPr="00C84482" w:rsidRDefault="00EE683C" w:rsidP="00EE683C">
                  <w:pPr>
                    <w:autoSpaceDE w:val="0"/>
                    <w:autoSpaceDN w:val="0"/>
                    <w:adjustRightInd w:val="0"/>
                    <w:jc w:val="center"/>
                    <w:rPr>
                      <w:rFonts w:asciiTheme="minorBidi" w:hAnsiTheme="minorBidi"/>
                      <w:sz w:val="18"/>
                      <w:szCs w:val="18"/>
                    </w:rPr>
                  </w:pPr>
                  <w:r w:rsidRPr="00C84482">
                    <w:rPr>
                      <w:rFonts w:asciiTheme="minorBidi" w:hAnsiTheme="minorBidi"/>
                      <w:sz w:val="18"/>
                      <w:szCs w:val="18"/>
                    </w:rPr>
                    <w:t>n</w:t>
                  </w:r>
                </w:p>
              </w:tc>
              <w:tc>
                <w:tcPr>
                  <w:tcW w:w="3690" w:type="dxa"/>
                  <w:tcBorders>
                    <w:bottom w:val="single" w:sz="4" w:space="0" w:color="auto"/>
                    <w:right w:val="single" w:sz="4" w:space="0" w:color="auto"/>
                  </w:tcBorders>
                </w:tcPr>
                <w:p w14:paraId="7ED7DC2A" w14:textId="77777777" w:rsidR="00EE683C" w:rsidRPr="00EE683C" w:rsidRDefault="00EE683C" w:rsidP="00EE683C">
                  <w:pPr>
                    <w:autoSpaceDE w:val="0"/>
                    <w:autoSpaceDN w:val="0"/>
                    <w:adjustRightInd w:val="0"/>
                    <w:jc w:val="center"/>
                    <w:rPr>
                      <w:rFonts w:asciiTheme="minorBidi" w:hAnsiTheme="minorBidi"/>
                      <w:sz w:val="16"/>
                      <w:szCs w:val="16"/>
                    </w:rPr>
                  </w:pPr>
                </w:p>
                <w:p w14:paraId="3A263750" w14:textId="77777777" w:rsidR="00EE683C" w:rsidRPr="00C84482" w:rsidRDefault="00EE683C" w:rsidP="00EE683C">
                  <w:pPr>
                    <w:autoSpaceDE w:val="0"/>
                    <w:autoSpaceDN w:val="0"/>
                    <w:adjustRightInd w:val="0"/>
                    <w:jc w:val="center"/>
                    <w:rPr>
                      <w:rFonts w:asciiTheme="minorBidi" w:hAnsiTheme="minorBidi"/>
                      <w:sz w:val="18"/>
                      <w:szCs w:val="18"/>
                    </w:rPr>
                  </w:pPr>
                  <w:r w:rsidRPr="00C84482">
                    <w:rPr>
                      <w:rFonts w:asciiTheme="minorBidi" w:hAnsiTheme="minorBidi"/>
                      <w:sz w:val="18"/>
                      <w:szCs w:val="18"/>
                    </w:rPr>
                    <w:t>Treatment for 8 days</w:t>
                  </w:r>
                </w:p>
              </w:tc>
            </w:tr>
            <w:tr w:rsidR="00EE683C" w:rsidRPr="002C1D3B" w14:paraId="71D3B75E" w14:textId="77777777" w:rsidTr="00C84482">
              <w:trPr>
                <w:trHeight w:val="440"/>
              </w:trPr>
              <w:tc>
                <w:tcPr>
                  <w:tcW w:w="2880" w:type="dxa"/>
                  <w:tcBorders>
                    <w:top w:val="single" w:sz="4" w:space="0" w:color="auto"/>
                    <w:left w:val="single" w:sz="4" w:space="0" w:color="auto"/>
                    <w:bottom w:val="single" w:sz="4" w:space="0" w:color="FFFFFF" w:themeColor="background1"/>
                  </w:tcBorders>
                </w:tcPr>
                <w:p w14:paraId="0748429E" w14:textId="77777777" w:rsidR="00EE683C" w:rsidRPr="00EE683C" w:rsidRDefault="00EE683C" w:rsidP="00EE683C">
                  <w:pPr>
                    <w:autoSpaceDE w:val="0"/>
                    <w:autoSpaceDN w:val="0"/>
                    <w:adjustRightInd w:val="0"/>
                    <w:jc w:val="center"/>
                    <w:rPr>
                      <w:rFonts w:asciiTheme="minorBidi" w:hAnsiTheme="minorBidi"/>
                      <w:sz w:val="16"/>
                      <w:szCs w:val="16"/>
                    </w:rPr>
                  </w:pPr>
                </w:p>
                <w:p w14:paraId="400E4103" w14:textId="77777777" w:rsidR="00C84482" w:rsidRPr="00C84482" w:rsidRDefault="00C84482" w:rsidP="00C84482">
                  <w:pPr>
                    <w:autoSpaceDE w:val="0"/>
                    <w:autoSpaceDN w:val="0"/>
                    <w:adjustRightInd w:val="0"/>
                    <w:jc w:val="center"/>
                    <w:rPr>
                      <w:rFonts w:asciiTheme="minorBidi" w:hAnsiTheme="minorBidi"/>
                      <w:sz w:val="18"/>
                      <w:szCs w:val="18"/>
                    </w:rPr>
                  </w:pPr>
                  <w:r w:rsidRPr="00C84482">
                    <w:rPr>
                      <w:rFonts w:asciiTheme="minorBidi" w:hAnsiTheme="minorBidi"/>
                      <w:sz w:val="18"/>
                      <w:szCs w:val="18"/>
                    </w:rPr>
                    <w:t>Sham (tolerant)</w:t>
                  </w:r>
                </w:p>
                <w:p w14:paraId="7A304A63" w14:textId="7DE0EF52" w:rsidR="00EE683C" w:rsidRPr="00EE683C" w:rsidRDefault="00C84482" w:rsidP="00C84482">
                  <w:pPr>
                    <w:autoSpaceDE w:val="0"/>
                    <w:autoSpaceDN w:val="0"/>
                    <w:adjustRightInd w:val="0"/>
                    <w:jc w:val="center"/>
                    <w:rPr>
                      <w:rFonts w:asciiTheme="minorBidi" w:hAnsiTheme="minorBidi"/>
                      <w:sz w:val="16"/>
                      <w:szCs w:val="16"/>
                    </w:rPr>
                  </w:pPr>
                  <w:r w:rsidRPr="00C84482">
                    <w:rPr>
                      <w:rFonts w:asciiTheme="minorBidi" w:hAnsiTheme="minorBidi"/>
                      <w:sz w:val="18"/>
                      <w:szCs w:val="18"/>
                    </w:rPr>
                    <w:t>Sham (OIH)</w:t>
                  </w:r>
                </w:p>
              </w:tc>
              <w:tc>
                <w:tcPr>
                  <w:tcW w:w="2335" w:type="dxa"/>
                  <w:tcBorders>
                    <w:top w:val="single" w:sz="4" w:space="0" w:color="auto"/>
                    <w:bottom w:val="single" w:sz="4" w:space="0" w:color="FFFFFF" w:themeColor="background1"/>
                  </w:tcBorders>
                </w:tcPr>
                <w:p w14:paraId="29A2B180" w14:textId="77777777" w:rsidR="00EE683C" w:rsidRPr="00EE683C" w:rsidRDefault="00EE683C" w:rsidP="00EE683C">
                  <w:pPr>
                    <w:autoSpaceDE w:val="0"/>
                    <w:autoSpaceDN w:val="0"/>
                    <w:adjustRightInd w:val="0"/>
                    <w:jc w:val="center"/>
                    <w:rPr>
                      <w:rFonts w:asciiTheme="minorBidi" w:hAnsiTheme="minorBidi"/>
                      <w:sz w:val="16"/>
                      <w:szCs w:val="16"/>
                    </w:rPr>
                  </w:pPr>
                </w:p>
                <w:p w14:paraId="618046F3" w14:textId="77777777" w:rsidR="00EE683C" w:rsidRPr="00EE683C" w:rsidRDefault="00EE683C" w:rsidP="00EE683C">
                  <w:pPr>
                    <w:autoSpaceDE w:val="0"/>
                    <w:autoSpaceDN w:val="0"/>
                    <w:adjustRightInd w:val="0"/>
                    <w:jc w:val="center"/>
                    <w:rPr>
                      <w:rFonts w:asciiTheme="minorBidi" w:hAnsiTheme="minorBidi"/>
                      <w:sz w:val="16"/>
                      <w:szCs w:val="16"/>
                    </w:rPr>
                  </w:pPr>
                  <w:r w:rsidRPr="00EE683C">
                    <w:rPr>
                      <w:rFonts w:asciiTheme="minorBidi" w:hAnsiTheme="minorBidi"/>
                      <w:sz w:val="16"/>
                      <w:szCs w:val="16"/>
                    </w:rPr>
                    <w:t>12</w:t>
                  </w:r>
                </w:p>
              </w:tc>
              <w:tc>
                <w:tcPr>
                  <w:tcW w:w="3690" w:type="dxa"/>
                  <w:tcBorders>
                    <w:top w:val="single" w:sz="4" w:space="0" w:color="auto"/>
                    <w:bottom w:val="single" w:sz="4" w:space="0" w:color="FFFFFF" w:themeColor="background1"/>
                    <w:right w:val="single" w:sz="4" w:space="0" w:color="auto"/>
                  </w:tcBorders>
                </w:tcPr>
                <w:p w14:paraId="112ED51C" w14:textId="77777777" w:rsidR="00EE683C" w:rsidRPr="00EE683C" w:rsidRDefault="00EE683C" w:rsidP="00EE683C">
                  <w:pPr>
                    <w:autoSpaceDE w:val="0"/>
                    <w:autoSpaceDN w:val="0"/>
                    <w:adjustRightInd w:val="0"/>
                    <w:jc w:val="center"/>
                    <w:rPr>
                      <w:rFonts w:asciiTheme="minorBidi" w:hAnsiTheme="minorBidi"/>
                      <w:sz w:val="16"/>
                      <w:szCs w:val="16"/>
                    </w:rPr>
                  </w:pPr>
                </w:p>
                <w:p w14:paraId="4CB25E2D" w14:textId="77777777" w:rsidR="00EE683C" w:rsidRPr="00C84482" w:rsidRDefault="00EE683C" w:rsidP="00EE683C">
                  <w:pPr>
                    <w:autoSpaceDE w:val="0"/>
                    <w:autoSpaceDN w:val="0"/>
                    <w:adjustRightInd w:val="0"/>
                    <w:jc w:val="center"/>
                    <w:rPr>
                      <w:rFonts w:asciiTheme="minorBidi" w:hAnsiTheme="minorBidi"/>
                      <w:sz w:val="18"/>
                      <w:szCs w:val="18"/>
                    </w:rPr>
                  </w:pPr>
                  <w:r w:rsidRPr="00C84482">
                    <w:rPr>
                      <w:rFonts w:asciiTheme="minorBidi" w:hAnsiTheme="minorBidi"/>
                      <w:sz w:val="18"/>
                      <w:szCs w:val="18"/>
                    </w:rPr>
                    <w:t>Saline</w:t>
                  </w:r>
                </w:p>
              </w:tc>
            </w:tr>
            <w:tr w:rsidR="00EE683C" w:rsidRPr="002C1D3B" w14:paraId="2D7D148C" w14:textId="77777777" w:rsidTr="00C84482">
              <w:trPr>
                <w:trHeight w:val="890"/>
              </w:trPr>
              <w:tc>
                <w:tcPr>
                  <w:tcW w:w="2880" w:type="dxa"/>
                  <w:tcBorders>
                    <w:top w:val="single" w:sz="4" w:space="0" w:color="FFFFFF" w:themeColor="background1"/>
                    <w:left w:val="single" w:sz="4" w:space="0" w:color="auto"/>
                    <w:bottom w:val="single" w:sz="4" w:space="0" w:color="FFFFFF" w:themeColor="background1"/>
                  </w:tcBorders>
                </w:tcPr>
                <w:p w14:paraId="2B46AC96" w14:textId="77777777" w:rsidR="00EE683C" w:rsidRPr="00EE683C" w:rsidRDefault="00EE683C" w:rsidP="00C84482">
                  <w:pPr>
                    <w:autoSpaceDE w:val="0"/>
                    <w:autoSpaceDN w:val="0"/>
                    <w:adjustRightInd w:val="0"/>
                    <w:rPr>
                      <w:rFonts w:asciiTheme="minorBidi" w:hAnsiTheme="minorBidi"/>
                      <w:sz w:val="16"/>
                      <w:szCs w:val="16"/>
                    </w:rPr>
                  </w:pPr>
                </w:p>
                <w:p w14:paraId="5157CFF5" w14:textId="4FA6391B" w:rsidR="00EE683C" w:rsidRPr="00C84482" w:rsidRDefault="00EE683C" w:rsidP="00EE683C">
                  <w:pPr>
                    <w:autoSpaceDE w:val="0"/>
                    <w:autoSpaceDN w:val="0"/>
                    <w:adjustRightInd w:val="0"/>
                    <w:jc w:val="center"/>
                    <w:rPr>
                      <w:rFonts w:asciiTheme="minorBidi" w:hAnsiTheme="minorBidi"/>
                      <w:sz w:val="18"/>
                      <w:szCs w:val="18"/>
                    </w:rPr>
                  </w:pPr>
                  <w:r w:rsidRPr="00C84482">
                    <w:rPr>
                      <w:rFonts w:asciiTheme="minorBidi" w:hAnsiTheme="minorBidi"/>
                      <w:sz w:val="18"/>
                      <w:szCs w:val="18"/>
                    </w:rPr>
                    <w:t xml:space="preserve">Morphine </w:t>
                  </w:r>
                  <w:r w:rsidR="003125A0" w:rsidRPr="00C84482">
                    <w:rPr>
                      <w:rFonts w:asciiTheme="minorBidi" w:hAnsiTheme="minorBidi"/>
                      <w:sz w:val="18"/>
                      <w:szCs w:val="18"/>
                    </w:rPr>
                    <w:t>(</w:t>
                  </w:r>
                  <w:r w:rsidRPr="00C84482">
                    <w:rPr>
                      <w:rFonts w:asciiTheme="minorBidi" w:hAnsiTheme="minorBidi"/>
                      <w:sz w:val="18"/>
                      <w:szCs w:val="18"/>
                    </w:rPr>
                    <w:t>tolerant</w:t>
                  </w:r>
                  <w:r w:rsidR="003125A0" w:rsidRPr="00C84482">
                    <w:rPr>
                      <w:rFonts w:asciiTheme="minorBidi" w:hAnsiTheme="minorBidi"/>
                      <w:sz w:val="18"/>
                      <w:szCs w:val="18"/>
                    </w:rPr>
                    <w:t>)</w:t>
                  </w:r>
                </w:p>
                <w:p w14:paraId="30D1BF33" w14:textId="3D00CB68" w:rsidR="00EE683C" w:rsidRPr="00C84482" w:rsidRDefault="00EE683C" w:rsidP="00EE683C">
                  <w:pPr>
                    <w:autoSpaceDE w:val="0"/>
                    <w:autoSpaceDN w:val="0"/>
                    <w:adjustRightInd w:val="0"/>
                    <w:jc w:val="center"/>
                    <w:rPr>
                      <w:rFonts w:asciiTheme="minorBidi" w:hAnsiTheme="minorBidi"/>
                      <w:sz w:val="18"/>
                      <w:szCs w:val="18"/>
                    </w:rPr>
                  </w:pPr>
                  <w:r w:rsidRPr="00C84482">
                    <w:rPr>
                      <w:rFonts w:asciiTheme="minorBidi" w:hAnsiTheme="minorBidi"/>
                      <w:sz w:val="18"/>
                      <w:szCs w:val="18"/>
                    </w:rPr>
                    <w:t xml:space="preserve">Morphine </w:t>
                  </w:r>
                  <w:r w:rsidR="003125A0" w:rsidRPr="00C84482">
                    <w:rPr>
                      <w:rFonts w:asciiTheme="minorBidi" w:hAnsiTheme="minorBidi"/>
                      <w:sz w:val="18"/>
                      <w:szCs w:val="18"/>
                    </w:rPr>
                    <w:t>(</w:t>
                  </w:r>
                  <w:r w:rsidRPr="00C84482">
                    <w:rPr>
                      <w:rFonts w:asciiTheme="minorBidi" w:hAnsiTheme="minorBidi"/>
                      <w:sz w:val="18"/>
                      <w:szCs w:val="18"/>
                    </w:rPr>
                    <w:t>OIH</w:t>
                  </w:r>
                  <w:r w:rsidR="003125A0" w:rsidRPr="00C84482">
                    <w:rPr>
                      <w:rFonts w:asciiTheme="minorBidi" w:hAnsiTheme="minorBidi"/>
                      <w:sz w:val="18"/>
                      <w:szCs w:val="18"/>
                    </w:rPr>
                    <w:t>)</w:t>
                  </w:r>
                </w:p>
                <w:p w14:paraId="79A0CF28" w14:textId="77777777" w:rsidR="00EE683C" w:rsidRPr="00EE683C" w:rsidRDefault="00EE683C" w:rsidP="00EE683C">
                  <w:pPr>
                    <w:autoSpaceDE w:val="0"/>
                    <w:autoSpaceDN w:val="0"/>
                    <w:adjustRightInd w:val="0"/>
                    <w:jc w:val="center"/>
                    <w:rPr>
                      <w:rFonts w:asciiTheme="minorBidi" w:hAnsiTheme="minorBidi"/>
                      <w:sz w:val="16"/>
                      <w:szCs w:val="16"/>
                    </w:rPr>
                  </w:pPr>
                </w:p>
              </w:tc>
              <w:tc>
                <w:tcPr>
                  <w:tcW w:w="2335" w:type="dxa"/>
                  <w:tcBorders>
                    <w:top w:val="single" w:sz="4" w:space="0" w:color="FFFFFF" w:themeColor="background1"/>
                    <w:bottom w:val="single" w:sz="4" w:space="0" w:color="FFFFFF" w:themeColor="background1"/>
                  </w:tcBorders>
                </w:tcPr>
                <w:p w14:paraId="29382440" w14:textId="77777777" w:rsidR="00EE683C" w:rsidRPr="00EE683C" w:rsidRDefault="00EE683C" w:rsidP="00EE683C">
                  <w:pPr>
                    <w:autoSpaceDE w:val="0"/>
                    <w:autoSpaceDN w:val="0"/>
                    <w:adjustRightInd w:val="0"/>
                    <w:jc w:val="center"/>
                    <w:rPr>
                      <w:rFonts w:asciiTheme="minorBidi" w:hAnsiTheme="minorBidi"/>
                      <w:sz w:val="16"/>
                      <w:szCs w:val="16"/>
                    </w:rPr>
                  </w:pPr>
                </w:p>
                <w:p w14:paraId="69D36252" w14:textId="77777777" w:rsidR="00EE683C" w:rsidRPr="00EE683C" w:rsidRDefault="00EE683C" w:rsidP="00EE683C">
                  <w:pPr>
                    <w:autoSpaceDE w:val="0"/>
                    <w:autoSpaceDN w:val="0"/>
                    <w:adjustRightInd w:val="0"/>
                    <w:jc w:val="center"/>
                    <w:rPr>
                      <w:rFonts w:asciiTheme="minorBidi" w:hAnsiTheme="minorBidi"/>
                      <w:sz w:val="16"/>
                      <w:szCs w:val="16"/>
                    </w:rPr>
                  </w:pPr>
                </w:p>
                <w:p w14:paraId="6D6FD108" w14:textId="77777777" w:rsidR="00EE683C" w:rsidRPr="00EE683C" w:rsidRDefault="00EE683C" w:rsidP="00EE683C">
                  <w:pPr>
                    <w:autoSpaceDE w:val="0"/>
                    <w:autoSpaceDN w:val="0"/>
                    <w:adjustRightInd w:val="0"/>
                    <w:jc w:val="center"/>
                    <w:rPr>
                      <w:rFonts w:asciiTheme="minorBidi" w:hAnsiTheme="minorBidi"/>
                      <w:sz w:val="16"/>
                      <w:szCs w:val="16"/>
                    </w:rPr>
                  </w:pPr>
                  <w:r w:rsidRPr="00EE683C">
                    <w:rPr>
                      <w:rFonts w:asciiTheme="minorBidi" w:hAnsiTheme="minorBidi"/>
                      <w:sz w:val="16"/>
                      <w:szCs w:val="16"/>
                    </w:rPr>
                    <w:t>12</w:t>
                  </w:r>
                </w:p>
              </w:tc>
              <w:tc>
                <w:tcPr>
                  <w:tcW w:w="3690" w:type="dxa"/>
                  <w:tcBorders>
                    <w:top w:val="single" w:sz="4" w:space="0" w:color="FFFFFF" w:themeColor="background1"/>
                    <w:bottom w:val="single" w:sz="4" w:space="0" w:color="FFFFFF" w:themeColor="background1"/>
                    <w:right w:val="single" w:sz="4" w:space="0" w:color="auto"/>
                  </w:tcBorders>
                </w:tcPr>
                <w:p w14:paraId="75B319A9" w14:textId="77777777" w:rsidR="00EE683C" w:rsidRPr="00EE683C" w:rsidRDefault="00EE683C" w:rsidP="00EE683C">
                  <w:pPr>
                    <w:autoSpaceDE w:val="0"/>
                    <w:autoSpaceDN w:val="0"/>
                    <w:adjustRightInd w:val="0"/>
                    <w:jc w:val="center"/>
                    <w:rPr>
                      <w:rFonts w:asciiTheme="minorBidi" w:hAnsiTheme="minorBidi"/>
                      <w:sz w:val="16"/>
                      <w:szCs w:val="16"/>
                    </w:rPr>
                  </w:pPr>
                </w:p>
                <w:p w14:paraId="72EC6F0A" w14:textId="77777777" w:rsidR="00EE683C" w:rsidRPr="00EE683C" w:rsidRDefault="00EE683C" w:rsidP="00EE683C">
                  <w:pPr>
                    <w:autoSpaceDE w:val="0"/>
                    <w:autoSpaceDN w:val="0"/>
                    <w:adjustRightInd w:val="0"/>
                    <w:jc w:val="center"/>
                    <w:rPr>
                      <w:rFonts w:asciiTheme="minorBidi" w:hAnsiTheme="minorBidi"/>
                      <w:sz w:val="16"/>
                      <w:szCs w:val="16"/>
                    </w:rPr>
                  </w:pPr>
                </w:p>
                <w:p w14:paraId="736CBC34" w14:textId="77777777" w:rsidR="00EE683C" w:rsidRPr="00C84482" w:rsidRDefault="00EE683C" w:rsidP="00EE683C">
                  <w:pPr>
                    <w:autoSpaceDE w:val="0"/>
                    <w:autoSpaceDN w:val="0"/>
                    <w:adjustRightInd w:val="0"/>
                    <w:jc w:val="center"/>
                    <w:rPr>
                      <w:rFonts w:asciiTheme="minorBidi" w:hAnsiTheme="minorBidi"/>
                      <w:sz w:val="18"/>
                      <w:szCs w:val="18"/>
                    </w:rPr>
                  </w:pPr>
                  <w:r w:rsidRPr="00C84482">
                    <w:rPr>
                      <w:rFonts w:asciiTheme="minorBidi" w:hAnsiTheme="minorBidi"/>
                      <w:sz w:val="18"/>
                      <w:szCs w:val="18"/>
                    </w:rPr>
                    <w:t xml:space="preserve">Morphine 10mg/kg daily </w:t>
                  </w:r>
                  <w:proofErr w:type="spellStart"/>
                  <w:r w:rsidRPr="00C84482">
                    <w:rPr>
                      <w:rFonts w:asciiTheme="minorBidi" w:hAnsiTheme="minorBidi"/>
                      <w:sz w:val="18"/>
                      <w:szCs w:val="18"/>
                    </w:rPr>
                    <w:t>i.p.</w:t>
                  </w:r>
                  <w:proofErr w:type="spellEnd"/>
                </w:p>
              </w:tc>
            </w:tr>
            <w:tr w:rsidR="00EE683C" w:rsidRPr="002C1D3B" w14:paraId="19E489B0" w14:textId="77777777" w:rsidTr="00C84482">
              <w:trPr>
                <w:trHeight w:val="440"/>
              </w:trPr>
              <w:tc>
                <w:tcPr>
                  <w:tcW w:w="2880" w:type="dxa"/>
                  <w:tcBorders>
                    <w:top w:val="single" w:sz="4" w:space="0" w:color="FFFFFF" w:themeColor="background1"/>
                    <w:left w:val="single" w:sz="4" w:space="0" w:color="auto"/>
                    <w:bottom w:val="single" w:sz="4" w:space="0" w:color="FFFFFF" w:themeColor="background1"/>
                  </w:tcBorders>
                </w:tcPr>
                <w:p w14:paraId="328A09DD" w14:textId="43EBF9A0" w:rsidR="00EE683C" w:rsidRPr="00C84482" w:rsidRDefault="00EE683C" w:rsidP="00EE683C">
                  <w:pPr>
                    <w:autoSpaceDE w:val="0"/>
                    <w:autoSpaceDN w:val="0"/>
                    <w:adjustRightInd w:val="0"/>
                    <w:jc w:val="center"/>
                    <w:rPr>
                      <w:rFonts w:asciiTheme="minorBidi" w:hAnsiTheme="minorBidi"/>
                      <w:sz w:val="18"/>
                      <w:szCs w:val="18"/>
                    </w:rPr>
                  </w:pPr>
                  <w:r w:rsidRPr="00C84482">
                    <w:rPr>
                      <w:rFonts w:asciiTheme="minorBidi" w:hAnsiTheme="minorBidi"/>
                      <w:sz w:val="18"/>
                      <w:szCs w:val="18"/>
                    </w:rPr>
                    <w:t xml:space="preserve">Morphine+ Naloxone </w:t>
                  </w:r>
                  <w:r w:rsidR="00ED1075" w:rsidRPr="00C84482">
                    <w:rPr>
                      <w:rFonts w:asciiTheme="minorBidi" w:hAnsiTheme="minorBidi"/>
                      <w:sz w:val="18"/>
                      <w:szCs w:val="18"/>
                    </w:rPr>
                    <w:t>(</w:t>
                  </w:r>
                  <w:r w:rsidRPr="00C84482">
                    <w:rPr>
                      <w:rFonts w:asciiTheme="minorBidi" w:hAnsiTheme="minorBidi"/>
                      <w:sz w:val="18"/>
                      <w:szCs w:val="18"/>
                    </w:rPr>
                    <w:t>tolerant</w:t>
                  </w:r>
                  <w:r w:rsidR="00ED1075" w:rsidRPr="00C84482">
                    <w:rPr>
                      <w:rFonts w:asciiTheme="minorBidi" w:hAnsiTheme="minorBidi"/>
                      <w:sz w:val="18"/>
                      <w:szCs w:val="18"/>
                    </w:rPr>
                    <w:t>)</w:t>
                  </w:r>
                </w:p>
                <w:p w14:paraId="74A9364E" w14:textId="3F50D0CD" w:rsidR="00EE683C" w:rsidRPr="00C84482" w:rsidRDefault="00EE683C" w:rsidP="00EE683C">
                  <w:pPr>
                    <w:autoSpaceDE w:val="0"/>
                    <w:autoSpaceDN w:val="0"/>
                    <w:adjustRightInd w:val="0"/>
                    <w:jc w:val="center"/>
                    <w:rPr>
                      <w:rFonts w:asciiTheme="minorBidi" w:hAnsiTheme="minorBidi"/>
                      <w:sz w:val="18"/>
                      <w:szCs w:val="18"/>
                    </w:rPr>
                  </w:pPr>
                  <w:r w:rsidRPr="00C84482">
                    <w:rPr>
                      <w:rFonts w:asciiTheme="minorBidi" w:hAnsiTheme="minorBidi"/>
                      <w:sz w:val="18"/>
                      <w:szCs w:val="18"/>
                    </w:rPr>
                    <w:t xml:space="preserve">Morphine+ Naloxone </w:t>
                  </w:r>
                  <w:r w:rsidR="00ED1075" w:rsidRPr="00C84482">
                    <w:rPr>
                      <w:rFonts w:asciiTheme="minorBidi" w:hAnsiTheme="minorBidi"/>
                      <w:sz w:val="18"/>
                      <w:szCs w:val="18"/>
                    </w:rPr>
                    <w:t>(</w:t>
                  </w:r>
                  <w:r w:rsidRPr="00C84482">
                    <w:rPr>
                      <w:rFonts w:asciiTheme="minorBidi" w:hAnsiTheme="minorBidi"/>
                      <w:sz w:val="18"/>
                      <w:szCs w:val="18"/>
                    </w:rPr>
                    <w:t>OIH</w:t>
                  </w:r>
                  <w:r w:rsidR="00ED1075" w:rsidRPr="00C84482">
                    <w:rPr>
                      <w:rFonts w:asciiTheme="minorBidi" w:hAnsiTheme="minorBidi"/>
                      <w:sz w:val="18"/>
                      <w:szCs w:val="18"/>
                    </w:rPr>
                    <w:t>)</w:t>
                  </w:r>
                </w:p>
                <w:p w14:paraId="1A953211" w14:textId="77777777" w:rsidR="00EE683C" w:rsidRPr="00C84482" w:rsidRDefault="00EE683C" w:rsidP="00EE683C">
                  <w:pPr>
                    <w:autoSpaceDE w:val="0"/>
                    <w:autoSpaceDN w:val="0"/>
                    <w:adjustRightInd w:val="0"/>
                    <w:jc w:val="center"/>
                    <w:rPr>
                      <w:rFonts w:asciiTheme="minorBidi" w:hAnsiTheme="minorBidi"/>
                      <w:sz w:val="18"/>
                      <w:szCs w:val="18"/>
                    </w:rPr>
                  </w:pPr>
                </w:p>
              </w:tc>
              <w:tc>
                <w:tcPr>
                  <w:tcW w:w="2335" w:type="dxa"/>
                  <w:tcBorders>
                    <w:top w:val="single" w:sz="4" w:space="0" w:color="FFFFFF" w:themeColor="background1"/>
                    <w:bottom w:val="single" w:sz="4" w:space="0" w:color="FFFFFF" w:themeColor="background1"/>
                  </w:tcBorders>
                </w:tcPr>
                <w:p w14:paraId="68AE8705" w14:textId="77777777" w:rsidR="00EE683C" w:rsidRPr="00EE683C" w:rsidRDefault="00EE683C" w:rsidP="00EE683C">
                  <w:pPr>
                    <w:autoSpaceDE w:val="0"/>
                    <w:autoSpaceDN w:val="0"/>
                    <w:adjustRightInd w:val="0"/>
                    <w:jc w:val="center"/>
                    <w:rPr>
                      <w:rFonts w:asciiTheme="minorBidi" w:hAnsiTheme="minorBidi"/>
                      <w:sz w:val="16"/>
                      <w:szCs w:val="16"/>
                    </w:rPr>
                  </w:pPr>
                </w:p>
                <w:p w14:paraId="0A7ECAA6" w14:textId="77777777" w:rsidR="00EE683C" w:rsidRPr="00EE683C" w:rsidRDefault="00EE683C" w:rsidP="00EE683C">
                  <w:pPr>
                    <w:autoSpaceDE w:val="0"/>
                    <w:autoSpaceDN w:val="0"/>
                    <w:adjustRightInd w:val="0"/>
                    <w:jc w:val="center"/>
                    <w:rPr>
                      <w:rFonts w:asciiTheme="minorBidi" w:hAnsiTheme="minorBidi"/>
                      <w:sz w:val="16"/>
                      <w:szCs w:val="16"/>
                    </w:rPr>
                  </w:pPr>
                  <w:r w:rsidRPr="00EE683C">
                    <w:rPr>
                      <w:rFonts w:asciiTheme="minorBidi" w:hAnsiTheme="minorBidi"/>
                      <w:sz w:val="16"/>
                      <w:szCs w:val="16"/>
                    </w:rPr>
                    <w:t>12</w:t>
                  </w:r>
                </w:p>
              </w:tc>
              <w:tc>
                <w:tcPr>
                  <w:tcW w:w="3690" w:type="dxa"/>
                  <w:tcBorders>
                    <w:top w:val="single" w:sz="4" w:space="0" w:color="FFFFFF" w:themeColor="background1"/>
                    <w:bottom w:val="single" w:sz="4" w:space="0" w:color="FFFFFF" w:themeColor="background1"/>
                    <w:right w:val="single" w:sz="4" w:space="0" w:color="auto"/>
                  </w:tcBorders>
                </w:tcPr>
                <w:p w14:paraId="3D30F123" w14:textId="77777777" w:rsidR="00EE683C" w:rsidRPr="00C84482" w:rsidRDefault="00EE683C" w:rsidP="00EE683C">
                  <w:pPr>
                    <w:autoSpaceDE w:val="0"/>
                    <w:autoSpaceDN w:val="0"/>
                    <w:adjustRightInd w:val="0"/>
                    <w:jc w:val="center"/>
                    <w:rPr>
                      <w:rFonts w:asciiTheme="minorBidi" w:hAnsiTheme="minorBidi"/>
                      <w:sz w:val="18"/>
                      <w:szCs w:val="18"/>
                    </w:rPr>
                  </w:pPr>
                </w:p>
                <w:p w14:paraId="199F9359" w14:textId="77777777" w:rsidR="00EE683C" w:rsidRPr="00EE683C" w:rsidRDefault="00EE683C" w:rsidP="00EE683C">
                  <w:pPr>
                    <w:autoSpaceDE w:val="0"/>
                    <w:autoSpaceDN w:val="0"/>
                    <w:adjustRightInd w:val="0"/>
                    <w:jc w:val="center"/>
                    <w:rPr>
                      <w:rFonts w:asciiTheme="minorBidi" w:hAnsiTheme="minorBidi"/>
                      <w:sz w:val="16"/>
                      <w:szCs w:val="16"/>
                    </w:rPr>
                  </w:pPr>
                  <w:r w:rsidRPr="00C84482">
                    <w:rPr>
                      <w:rFonts w:asciiTheme="minorBidi" w:hAnsiTheme="minorBidi"/>
                      <w:sz w:val="18"/>
                      <w:szCs w:val="18"/>
                    </w:rPr>
                    <w:t xml:space="preserve">Morphine10mg/kg+Naloxone15ng daily </w:t>
                  </w:r>
                  <w:proofErr w:type="spellStart"/>
                  <w:r w:rsidRPr="00C84482">
                    <w:rPr>
                      <w:rFonts w:asciiTheme="minorBidi" w:hAnsiTheme="minorBidi"/>
                      <w:sz w:val="18"/>
                      <w:szCs w:val="18"/>
                    </w:rPr>
                    <w:t>i.p.</w:t>
                  </w:r>
                  <w:proofErr w:type="spellEnd"/>
                </w:p>
              </w:tc>
            </w:tr>
            <w:tr w:rsidR="00EE683C" w:rsidRPr="002C1D3B" w14:paraId="1FBBA666" w14:textId="77777777" w:rsidTr="00C84482">
              <w:trPr>
                <w:trHeight w:val="350"/>
              </w:trPr>
              <w:tc>
                <w:tcPr>
                  <w:tcW w:w="2880" w:type="dxa"/>
                  <w:tcBorders>
                    <w:top w:val="single" w:sz="4" w:space="0" w:color="FFFFFF" w:themeColor="background1"/>
                    <w:left w:val="single" w:sz="4" w:space="0" w:color="auto"/>
                  </w:tcBorders>
                </w:tcPr>
                <w:p w14:paraId="6F82DBEF" w14:textId="0231A203" w:rsidR="00EE683C" w:rsidRPr="00C84482" w:rsidRDefault="00EE683C" w:rsidP="00EE683C">
                  <w:pPr>
                    <w:autoSpaceDE w:val="0"/>
                    <w:autoSpaceDN w:val="0"/>
                    <w:adjustRightInd w:val="0"/>
                    <w:jc w:val="center"/>
                    <w:rPr>
                      <w:rFonts w:asciiTheme="minorBidi" w:hAnsiTheme="minorBidi"/>
                      <w:sz w:val="18"/>
                      <w:szCs w:val="18"/>
                    </w:rPr>
                  </w:pPr>
                  <w:r w:rsidRPr="00C84482">
                    <w:rPr>
                      <w:rFonts w:asciiTheme="minorBidi" w:hAnsiTheme="minorBidi"/>
                      <w:sz w:val="18"/>
                      <w:szCs w:val="18"/>
                    </w:rPr>
                    <w:t xml:space="preserve">Naloxone+ Saline </w:t>
                  </w:r>
                  <w:r w:rsidR="00ED1075" w:rsidRPr="00C84482">
                    <w:rPr>
                      <w:rFonts w:asciiTheme="minorBidi" w:hAnsiTheme="minorBidi"/>
                      <w:sz w:val="18"/>
                      <w:szCs w:val="18"/>
                    </w:rPr>
                    <w:t>(</w:t>
                  </w:r>
                  <w:r w:rsidRPr="00C84482">
                    <w:rPr>
                      <w:rFonts w:asciiTheme="minorBidi" w:hAnsiTheme="minorBidi"/>
                      <w:sz w:val="18"/>
                      <w:szCs w:val="18"/>
                    </w:rPr>
                    <w:t>tolerant</w:t>
                  </w:r>
                  <w:r w:rsidR="00ED1075" w:rsidRPr="00C84482">
                    <w:rPr>
                      <w:rFonts w:asciiTheme="minorBidi" w:hAnsiTheme="minorBidi"/>
                      <w:sz w:val="18"/>
                      <w:szCs w:val="18"/>
                    </w:rPr>
                    <w:t>)</w:t>
                  </w:r>
                </w:p>
                <w:p w14:paraId="0A3C461B" w14:textId="206FB1B6" w:rsidR="00EE683C" w:rsidRPr="00C84482" w:rsidRDefault="00EE683C" w:rsidP="00EE683C">
                  <w:pPr>
                    <w:autoSpaceDE w:val="0"/>
                    <w:autoSpaceDN w:val="0"/>
                    <w:adjustRightInd w:val="0"/>
                    <w:jc w:val="center"/>
                    <w:rPr>
                      <w:rFonts w:asciiTheme="minorBidi" w:hAnsiTheme="minorBidi"/>
                      <w:sz w:val="18"/>
                      <w:szCs w:val="18"/>
                    </w:rPr>
                  </w:pPr>
                  <w:r w:rsidRPr="00C84482">
                    <w:rPr>
                      <w:rFonts w:asciiTheme="minorBidi" w:hAnsiTheme="minorBidi"/>
                      <w:sz w:val="18"/>
                      <w:szCs w:val="18"/>
                    </w:rPr>
                    <w:t xml:space="preserve">Naloxone+ Saline </w:t>
                  </w:r>
                  <w:r w:rsidR="00ED1075" w:rsidRPr="00C84482">
                    <w:rPr>
                      <w:rFonts w:asciiTheme="minorBidi" w:hAnsiTheme="minorBidi"/>
                      <w:sz w:val="18"/>
                      <w:szCs w:val="18"/>
                    </w:rPr>
                    <w:t>(</w:t>
                  </w:r>
                  <w:r w:rsidRPr="00C84482">
                    <w:rPr>
                      <w:rFonts w:asciiTheme="minorBidi" w:hAnsiTheme="minorBidi"/>
                      <w:sz w:val="18"/>
                      <w:szCs w:val="18"/>
                    </w:rPr>
                    <w:t>OIH</w:t>
                  </w:r>
                  <w:r w:rsidR="00ED1075" w:rsidRPr="00C84482">
                    <w:rPr>
                      <w:rFonts w:asciiTheme="minorBidi" w:hAnsiTheme="minorBidi"/>
                      <w:sz w:val="18"/>
                      <w:szCs w:val="18"/>
                    </w:rPr>
                    <w:t>)</w:t>
                  </w:r>
                </w:p>
                <w:p w14:paraId="455A2B09" w14:textId="77777777" w:rsidR="00EE683C" w:rsidRPr="00EE683C" w:rsidRDefault="00EE683C" w:rsidP="00EE683C">
                  <w:pPr>
                    <w:autoSpaceDE w:val="0"/>
                    <w:autoSpaceDN w:val="0"/>
                    <w:adjustRightInd w:val="0"/>
                    <w:jc w:val="center"/>
                    <w:rPr>
                      <w:rFonts w:asciiTheme="minorBidi" w:hAnsiTheme="minorBidi"/>
                      <w:sz w:val="16"/>
                      <w:szCs w:val="16"/>
                    </w:rPr>
                  </w:pPr>
                </w:p>
              </w:tc>
              <w:tc>
                <w:tcPr>
                  <w:tcW w:w="2335" w:type="dxa"/>
                  <w:tcBorders>
                    <w:top w:val="single" w:sz="4" w:space="0" w:color="FFFFFF" w:themeColor="background1"/>
                  </w:tcBorders>
                </w:tcPr>
                <w:p w14:paraId="2F31DF13" w14:textId="77777777" w:rsidR="00EE683C" w:rsidRPr="00EE683C" w:rsidRDefault="00EE683C" w:rsidP="00EE683C">
                  <w:pPr>
                    <w:autoSpaceDE w:val="0"/>
                    <w:autoSpaceDN w:val="0"/>
                    <w:adjustRightInd w:val="0"/>
                    <w:jc w:val="center"/>
                    <w:rPr>
                      <w:rFonts w:asciiTheme="minorBidi" w:hAnsiTheme="minorBidi"/>
                      <w:sz w:val="16"/>
                      <w:szCs w:val="16"/>
                    </w:rPr>
                  </w:pPr>
                </w:p>
                <w:p w14:paraId="27479779" w14:textId="77777777" w:rsidR="00EE683C" w:rsidRPr="00EE683C" w:rsidRDefault="00EE683C" w:rsidP="00EE683C">
                  <w:pPr>
                    <w:autoSpaceDE w:val="0"/>
                    <w:autoSpaceDN w:val="0"/>
                    <w:adjustRightInd w:val="0"/>
                    <w:jc w:val="center"/>
                    <w:rPr>
                      <w:rFonts w:asciiTheme="minorBidi" w:hAnsiTheme="minorBidi"/>
                      <w:sz w:val="16"/>
                      <w:szCs w:val="16"/>
                    </w:rPr>
                  </w:pPr>
                  <w:r w:rsidRPr="00EE683C">
                    <w:rPr>
                      <w:rFonts w:asciiTheme="minorBidi" w:hAnsiTheme="minorBidi"/>
                      <w:sz w:val="16"/>
                      <w:szCs w:val="16"/>
                    </w:rPr>
                    <w:t>12</w:t>
                  </w:r>
                </w:p>
              </w:tc>
              <w:tc>
                <w:tcPr>
                  <w:tcW w:w="3690" w:type="dxa"/>
                  <w:tcBorders>
                    <w:top w:val="single" w:sz="4" w:space="0" w:color="FFFFFF" w:themeColor="background1"/>
                    <w:right w:val="single" w:sz="4" w:space="0" w:color="auto"/>
                  </w:tcBorders>
                </w:tcPr>
                <w:p w14:paraId="008ABFF2" w14:textId="77777777" w:rsidR="00EE683C" w:rsidRPr="00EE683C" w:rsidRDefault="00EE683C" w:rsidP="00EE683C">
                  <w:pPr>
                    <w:autoSpaceDE w:val="0"/>
                    <w:autoSpaceDN w:val="0"/>
                    <w:adjustRightInd w:val="0"/>
                    <w:jc w:val="center"/>
                    <w:rPr>
                      <w:rFonts w:asciiTheme="minorBidi" w:hAnsiTheme="minorBidi"/>
                      <w:sz w:val="16"/>
                      <w:szCs w:val="16"/>
                    </w:rPr>
                  </w:pPr>
                </w:p>
                <w:p w14:paraId="65F26939" w14:textId="77777777" w:rsidR="00EE683C" w:rsidRPr="00C84482" w:rsidRDefault="00EE683C" w:rsidP="00EE683C">
                  <w:pPr>
                    <w:autoSpaceDE w:val="0"/>
                    <w:autoSpaceDN w:val="0"/>
                    <w:adjustRightInd w:val="0"/>
                    <w:jc w:val="center"/>
                    <w:rPr>
                      <w:rFonts w:asciiTheme="minorBidi" w:hAnsiTheme="minorBidi"/>
                      <w:sz w:val="18"/>
                      <w:szCs w:val="18"/>
                    </w:rPr>
                  </w:pPr>
                  <w:r w:rsidRPr="00C84482">
                    <w:rPr>
                      <w:rFonts w:asciiTheme="minorBidi" w:hAnsiTheme="minorBidi"/>
                      <w:sz w:val="18"/>
                      <w:szCs w:val="18"/>
                    </w:rPr>
                    <w:t xml:space="preserve">naloxone15ng +saline daily </w:t>
                  </w:r>
                  <w:proofErr w:type="spellStart"/>
                  <w:r w:rsidRPr="00C84482">
                    <w:rPr>
                      <w:rFonts w:asciiTheme="minorBidi" w:hAnsiTheme="minorBidi"/>
                      <w:sz w:val="18"/>
                      <w:szCs w:val="18"/>
                    </w:rPr>
                    <w:t>i.p.</w:t>
                  </w:r>
                  <w:proofErr w:type="spellEnd"/>
                </w:p>
              </w:tc>
            </w:tr>
          </w:tbl>
          <w:p w14:paraId="6DF8AF9A" w14:textId="4D46FD36" w:rsidR="00502FCD" w:rsidRPr="00833AC6" w:rsidRDefault="00502FCD" w:rsidP="00502FCD">
            <w:pPr>
              <w:autoSpaceDE w:val="0"/>
              <w:autoSpaceDN w:val="0"/>
              <w:adjustRightInd w:val="0"/>
              <w:spacing w:before="60" w:after="60"/>
              <w:rPr>
                <w:rFonts w:ascii="Arial" w:hAnsi="Arial" w:cs="Arial"/>
                <w:b/>
                <w:bCs/>
                <w:sz w:val="18"/>
                <w:szCs w:val="18"/>
              </w:rPr>
            </w:pPr>
          </w:p>
        </w:tc>
        <w:tc>
          <w:tcPr>
            <w:tcW w:w="1530" w:type="dxa"/>
            <w:tcBorders>
              <w:top w:val="single" w:sz="8" w:space="0" w:color="4A8783"/>
              <w:left w:val="single" w:sz="8" w:space="0" w:color="4A8783"/>
              <w:bottom w:val="single" w:sz="8" w:space="0" w:color="4A8783"/>
            </w:tcBorders>
          </w:tcPr>
          <w:p w14:paraId="4E8B530D" w14:textId="77777777" w:rsidR="008B4D66" w:rsidRDefault="008B4D66" w:rsidP="00214F3D">
            <w:pPr>
              <w:autoSpaceDE w:val="0"/>
              <w:autoSpaceDN w:val="0"/>
              <w:adjustRightInd w:val="0"/>
              <w:spacing w:before="60" w:after="60"/>
              <w:rPr>
                <w:rFonts w:ascii="Arial" w:hAnsi="Arial" w:cs="Arial"/>
                <w:sz w:val="18"/>
                <w:szCs w:val="18"/>
              </w:rPr>
            </w:pPr>
          </w:p>
          <w:p w14:paraId="5EE3EE4F" w14:textId="77777777" w:rsidR="00642640" w:rsidRDefault="00642640" w:rsidP="00214F3D">
            <w:pPr>
              <w:autoSpaceDE w:val="0"/>
              <w:autoSpaceDN w:val="0"/>
              <w:adjustRightInd w:val="0"/>
              <w:spacing w:before="60" w:after="60"/>
              <w:rPr>
                <w:rFonts w:ascii="Arial" w:hAnsi="Arial" w:cs="Arial"/>
                <w:sz w:val="18"/>
                <w:szCs w:val="18"/>
              </w:rPr>
            </w:pPr>
          </w:p>
          <w:p w14:paraId="7666D37E" w14:textId="77777777" w:rsidR="00642640" w:rsidRDefault="00642640" w:rsidP="00214F3D">
            <w:pPr>
              <w:autoSpaceDE w:val="0"/>
              <w:autoSpaceDN w:val="0"/>
              <w:adjustRightInd w:val="0"/>
              <w:spacing w:before="60" w:after="60"/>
              <w:rPr>
                <w:rFonts w:ascii="Arial" w:hAnsi="Arial" w:cs="Arial"/>
                <w:sz w:val="18"/>
                <w:szCs w:val="18"/>
              </w:rPr>
            </w:pPr>
          </w:p>
          <w:p w14:paraId="29C683F1" w14:textId="693A233D" w:rsidR="008B4D66" w:rsidRDefault="008B4D66" w:rsidP="00214F3D">
            <w:pPr>
              <w:autoSpaceDE w:val="0"/>
              <w:autoSpaceDN w:val="0"/>
              <w:adjustRightInd w:val="0"/>
              <w:spacing w:before="60" w:after="60"/>
              <w:rPr>
                <w:rFonts w:ascii="Arial" w:hAnsi="Arial" w:cs="Arial"/>
                <w:sz w:val="18"/>
                <w:szCs w:val="18"/>
              </w:rPr>
            </w:pPr>
            <w:r>
              <w:rPr>
                <w:rFonts w:ascii="Arial" w:hAnsi="Arial" w:cs="Arial"/>
                <w:sz w:val="18"/>
                <w:szCs w:val="18"/>
              </w:rPr>
              <w:t xml:space="preserve">Paragraph   </w:t>
            </w:r>
            <w:r w:rsidR="00C972AD">
              <w:rPr>
                <w:rFonts w:ascii="Arial" w:hAnsi="Arial" w:cs="Arial"/>
                <w:sz w:val="18"/>
                <w:szCs w:val="18"/>
              </w:rPr>
              <w:t>1</w:t>
            </w:r>
          </w:p>
          <w:p w14:paraId="563245E2" w14:textId="77777777" w:rsidR="00ED1075" w:rsidRDefault="00ED1075" w:rsidP="00214F3D">
            <w:pPr>
              <w:autoSpaceDE w:val="0"/>
              <w:autoSpaceDN w:val="0"/>
              <w:adjustRightInd w:val="0"/>
              <w:spacing w:before="60" w:after="60"/>
              <w:rPr>
                <w:rFonts w:ascii="Arial" w:hAnsi="Arial" w:cs="Arial"/>
                <w:sz w:val="18"/>
                <w:szCs w:val="18"/>
              </w:rPr>
            </w:pPr>
          </w:p>
          <w:p w14:paraId="7D0C0372" w14:textId="77777777" w:rsidR="00642640" w:rsidRDefault="00642640" w:rsidP="00214F3D">
            <w:pPr>
              <w:autoSpaceDE w:val="0"/>
              <w:autoSpaceDN w:val="0"/>
              <w:adjustRightInd w:val="0"/>
              <w:spacing w:before="60" w:after="60"/>
              <w:rPr>
                <w:rFonts w:ascii="Arial" w:hAnsi="Arial" w:cs="Arial"/>
                <w:sz w:val="18"/>
                <w:szCs w:val="18"/>
              </w:rPr>
            </w:pPr>
          </w:p>
          <w:p w14:paraId="4D91EF22" w14:textId="25B3AD31" w:rsidR="00642640" w:rsidRDefault="00642640" w:rsidP="00214F3D">
            <w:pPr>
              <w:autoSpaceDE w:val="0"/>
              <w:autoSpaceDN w:val="0"/>
              <w:adjustRightInd w:val="0"/>
              <w:spacing w:before="60" w:after="60"/>
              <w:rPr>
                <w:rFonts w:ascii="Arial" w:hAnsi="Arial" w:cs="Arial"/>
                <w:sz w:val="18"/>
                <w:szCs w:val="18"/>
              </w:rPr>
            </w:pPr>
            <w:r>
              <w:rPr>
                <w:rFonts w:ascii="Arial" w:hAnsi="Arial" w:cs="Arial"/>
                <w:sz w:val="18"/>
                <w:szCs w:val="18"/>
              </w:rPr>
              <w:t>Paragraph   2</w:t>
            </w:r>
          </w:p>
          <w:p w14:paraId="1250062C" w14:textId="77777777" w:rsidR="00642640" w:rsidRDefault="00642640" w:rsidP="00214F3D">
            <w:pPr>
              <w:autoSpaceDE w:val="0"/>
              <w:autoSpaceDN w:val="0"/>
              <w:adjustRightInd w:val="0"/>
              <w:spacing w:before="60" w:after="60"/>
              <w:rPr>
                <w:rFonts w:ascii="Arial" w:hAnsi="Arial" w:cs="Arial"/>
                <w:sz w:val="18"/>
                <w:szCs w:val="18"/>
              </w:rPr>
            </w:pPr>
          </w:p>
          <w:p w14:paraId="3E3D6D43" w14:textId="157B13B8" w:rsidR="00642640" w:rsidRDefault="00642640" w:rsidP="00214F3D">
            <w:pPr>
              <w:autoSpaceDE w:val="0"/>
              <w:autoSpaceDN w:val="0"/>
              <w:adjustRightInd w:val="0"/>
              <w:spacing w:before="60" w:after="60"/>
              <w:rPr>
                <w:rFonts w:ascii="Arial" w:hAnsi="Arial" w:cs="Arial"/>
                <w:sz w:val="18"/>
                <w:szCs w:val="18"/>
              </w:rPr>
            </w:pPr>
            <w:r>
              <w:rPr>
                <w:rFonts w:ascii="Arial" w:hAnsi="Arial" w:cs="Arial"/>
                <w:sz w:val="18"/>
                <w:szCs w:val="18"/>
              </w:rPr>
              <w:t>Table.1</w:t>
            </w:r>
          </w:p>
          <w:p w14:paraId="6396D7E1" w14:textId="77777777" w:rsidR="00642640" w:rsidRDefault="00642640" w:rsidP="00214F3D">
            <w:pPr>
              <w:autoSpaceDE w:val="0"/>
              <w:autoSpaceDN w:val="0"/>
              <w:adjustRightInd w:val="0"/>
              <w:spacing w:before="60" w:after="60"/>
              <w:rPr>
                <w:rFonts w:ascii="Arial" w:hAnsi="Arial" w:cs="Arial"/>
                <w:sz w:val="18"/>
                <w:szCs w:val="18"/>
              </w:rPr>
            </w:pPr>
          </w:p>
          <w:p w14:paraId="6018C942" w14:textId="77777777" w:rsidR="00642640" w:rsidRDefault="00642640" w:rsidP="00214F3D">
            <w:pPr>
              <w:autoSpaceDE w:val="0"/>
              <w:autoSpaceDN w:val="0"/>
              <w:adjustRightInd w:val="0"/>
              <w:spacing w:before="60" w:after="60"/>
              <w:rPr>
                <w:rFonts w:ascii="Arial" w:hAnsi="Arial" w:cs="Arial"/>
                <w:sz w:val="18"/>
                <w:szCs w:val="18"/>
              </w:rPr>
            </w:pPr>
          </w:p>
          <w:p w14:paraId="0B1DC92B" w14:textId="77777777" w:rsidR="00642640" w:rsidRDefault="00642640" w:rsidP="00214F3D">
            <w:pPr>
              <w:autoSpaceDE w:val="0"/>
              <w:autoSpaceDN w:val="0"/>
              <w:adjustRightInd w:val="0"/>
              <w:spacing w:before="60" w:after="60"/>
              <w:rPr>
                <w:rFonts w:ascii="Arial" w:hAnsi="Arial" w:cs="Arial"/>
                <w:sz w:val="18"/>
                <w:szCs w:val="18"/>
              </w:rPr>
            </w:pPr>
          </w:p>
          <w:p w14:paraId="7761D1B7" w14:textId="77777777" w:rsidR="00642640" w:rsidRDefault="00642640" w:rsidP="00214F3D">
            <w:pPr>
              <w:autoSpaceDE w:val="0"/>
              <w:autoSpaceDN w:val="0"/>
              <w:adjustRightInd w:val="0"/>
              <w:spacing w:before="60" w:after="60"/>
              <w:rPr>
                <w:rFonts w:ascii="Arial" w:hAnsi="Arial" w:cs="Arial"/>
                <w:sz w:val="18"/>
                <w:szCs w:val="18"/>
              </w:rPr>
            </w:pPr>
          </w:p>
          <w:p w14:paraId="5BB617C9" w14:textId="2DB033C4" w:rsidR="00642640" w:rsidRDefault="00642640" w:rsidP="00214F3D">
            <w:pPr>
              <w:autoSpaceDE w:val="0"/>
              <w:autoSpaceDN w:val="0"/>
              <w:adjustRightInd w:val="0"/>
              <w:spacing w:before="60" w:after="60"/>
              <w:rPr>
                <w:rFonts w:ascii="Arial" w:hAnsi="Arial" w:cs="Arial"/>
                <w:sz w:val="18"/>
                <w:szCs w:val="18"/>
              </w:rPr>
            </w:pPr>
          </w:p>
          <w:p w14:paraId="5BBEA956" w14:textId="3C733EDB" w:rsidR="00642640" w:rsidRDefault="00642640" w:rsidP="00214F3D">
            <w:pPr>
              <w:autoSpaceDE w:val="0"/>
              <w:autoSpaceDN w:val="0"/>
              <w:adjustRightInd w:val="0"/>
              <w:spacing w:before="60" w:after="60"/>
              <w:rPr>
                <w:rFonts w:ascii="Arial" w:hAnsi="Arial" w:cs="Arial"/>
                <w:sz w:val="18"/>
                <w:szCs w:val="18"/>
              </w:rPr>
            </w:pPr>
          </w:p>
          <w:p w14:paraId="443040A4" w14:textId="77777777" w:rsidR="00642640" w:rsidRDefault="00642640" w:rsidP="00214F3D">
            <w:pPr>
              <w:autoSpaceDE w:val="0"/>
              <w:autoSpaceDN w:val="0"/>
              <w:adjustRightInd w:val="0"/>
              <w:spacing w:before="60" w:after="60"/>
              <w:rPr>
                <w:rFonts w:ascii="Arial" w:hAnsi="Arial" w:cs="Arial"/>
                <w:sz w:val="18"/>
                <w:szCs w:val="18"/>
              </w:rPr>
            </w:pPr>
          </w:p>
          <w:p w14:paraId="7505AB29" w14:textId="77777777" w:rsidR="00642640" w:rsidRDefault="00642640" w:rsidP="00214F3D">
            <w:pPr>
              <w:autoSpaceDE w:val="0"/>
              <w:autoSpaceDN w:val="0"/>
              <w:adjustRightInd w:val="0"/>
              <w:spacing w:before="60" w:after="60"/>
              <w:rPr>
                <w:rFonts w:ascii="Arial" w:hAnsi="Arial" w:cs="Arial"/>
                <w:sz w:val="18"/>
                <w:szCs w:val="18"/>
              </w:rPr>
            </w:pPr>
          </w:p>
          <w:p w14:paraId="30800E6E" w14:textId="73BB5701" w:rsidR="00ED1075" w:rsidRDefault="008E6F57" w:rsidP="00214F3D">
            <w:pPr>
              <w:autoSpaceDE w:val="0"/>
              <w:autoSpaceDN w:val="0"/>
              <w:adjustRightInd w:val="0"/>
              <w:spacing w:before="60" w:after="60"/>
              <w:rPr>
                <w:rFonts w:ascii="Arial" w:hAnsi="Arial" w:cs="Arial"/>
                <w:sz w:val="18"/>
                <w:szCs w:val="18"/>
              </w:rPr>
            </w:pPr>
            <w:r>
              <w:rPr>
                <w:rFonts w:ascii="Arial" w:hAnsi="Arial" w:cs="Arial"/>
                <w:sz w:val="18"/>
                <w:szCs w:val="18"/>
              </w:rPr>
              <w:t>Instrument</w:t>
            </w:r>
            <w:r w:rsidR="00FB1FBF">
              <w:rPr>
                <w:rFonts w:ascii="Arial" w:hAnsi="Arial" w:cs="Arial"/>
                <w:sz w:val="18"/>
                <w:szCs w:val="18"/>
              </w:rPr>
              <w:t>s</w:t>
            </w:r>
            <w:r>
              <w:rPr>
                <w:rFonts w:ascii="Arial" w:hAnsi="Arial" w:cs="Arial"/>
                <w:sz w:val="18"/>
                <w:szCs w:val="18"/>
              </w:rPr>
              <w:t xml:space="preserve"> and reagents</w:t>
            </w:r>
          </w:p>
          <w:p w14:paraId="0EC28179" w14:textId="02CDC392" w:rsidR="00ED1075" w:rsidRDefault="00294378" w:rsidP="00214F3D">
            <w:pPr>
              <w:autoSpaceDE w:val="0"/>
              <w:autoSpaceDN w:val="0"/>
              <w:adjustRightInd w:val="0"/>
              <w:spacing w:before="60" w:after="60"/>
              <w:rPr>
                <w:rFonts w:ascii="Arial" w:hAnsi="Arial" w:cs="Arial"/>
                <w:sz w:val="18"/>
                <w:szCs w:val="18"/>
              </w:rPr>
            </w:pPr>
            <w:r>
              <w:rPr>
                <w:rFonts w:ascii="Arial" w:hAnsi="Arial" w:cs="Arial"/>
                <w:sz w:val="18"/>
                <w:szCs w:val="18"/>
              </w:rPr>
              <w:t xml:space="preserve">Paragraph </w:t>
            </w:r>
            <w:r w:rsidR="008E6F57">
              <w:rPr>
                <w:rFonts w:ascii="Arial" w:hAnsi="Arial" w:cs="Arial"/>
                <w:sz w:val="18"/>
                <w:szCs w:val="18"/>
              </w:rPr>
              <w:t>1</w:t>
            </w:r>
          </w:p>
          <w:p w14:paraId="79E5A6D8" w14:textId="77777777" w:rsidR="003415AA" w:rsidRDefault="003415AA" w:rsidP="00214F3D">
            <w:pPr>
              <w:autoSpaceDE w:val="0"/>
              <w:autoSpaceDN w:val="0"/>
              <w:adjustRightInd w:val="0"/>
              <w:spacing w:before="60" w:after="60"/>
              <w:rPr>
                <w:rFonts w:ascii="Arial" w:hAnsi="Arial" w:cs="Arial"/>
                <w:sz w:val="18"/>
                <w:szCs w:val="18"/>
              </w:rPr>
            </w:pPr>
          </w:p>
          <w:p w14:paraId="50118410" w14:textId="77777777" w:rsidR="003415AA" w:rsidRDefault="003415AA" w:rsidP="00214F3D">
            <w:pPr>
              <w:autoSpaceDE w:val="0"/>
              <w:autoSpaceDN w:val="0"/>
              <w:adjustRightInd w:val="0"/>
              <w:spacing w:before="60" w:after="60"/>
              <w:rPr>
                <w:rFonts w:ascii="Arial" w:hAnsi="Arial" w:cs="Arial"/>
                <w:sz w:val="18"/>
                <w:szCs w:val="18"/>
              </w:rPr>
            </w:pPr>
          </w:p>
          <w:p w14:paraId="7C6951E3" w14:textId="77777777" w:rsidR="003415AA" w:rsidRDefault="003415AA" w:rsidP="00214F3D">
            <w:pPr>
              <w:autoSpaceDE w:val="0"/>
              <w:autoSpaceDN w:val="0"/>
              <w:adjustRightInd w:val="0"/>
              <w:spacing w:before="60" w:after="60"/>
              <w:rPr>
                <w:rFonts w:ascii="Arial" w:hAnsi="Arial" w:cs="Arial"/>
                <w:sz w:val="18"/>
                <w:szCs w:val="18"/>
              </w:rPr>
            </w:pPr>
          </w:p>
          <w:p w14:paraId="53424B06" w14:textId="77777777" w:rsidR="003415AA" w:rsidRDefault="003415AA" w:rsidP="00214F3D">
            <w:pPr>
              <w:autoSpaceDE w:val="0"/>
              <w:autoSpaceDN w:val="0"/>
              <w:adjustRightInd w:val="0"/>
              <w:spacing w:before="60" w:after="60"/>
              <w:rPr>
                <w:rFonts w:ascii="Arial" w:hAnsi="Arial" w:cs="Arial"/>
                <w:sz w:val="18"/>
                <w:szCs w:val="18"/>
              </w:rPr>
            </w:pPr>
          </w:p>
          <w:p w14:paraId="4084E2A4" w14:textId="77777777" w:rsidR="003415AA" w:rsidRDefault="003415AA" w:rsidP="00214F3D">
            <w:pPr>
              <w:autoSpaceDE w:val="0"/>
              <w:autoSpaceDN w:val="0"/>
              <w:adjustRightInd w:val="0"/>
              <w:spacing w:before="60" w:after="60"/>
              <w:rPr>
                <w:rFonts w:ascii="Arial" w:hAnsi="Arial" w:cs="Arial"/>
                <w:sz w:val="18"/>
                <w:szCs w:val="18"/>
              </w:rPr>
            </w:pPr>
          </w:p>
          <w:p w14:paraId="787588B9" w14:textId="1A464969" w:rsidR="003415AA" w:rsidRPr="00227F90" w:rsidRDefault="003415AA" w:rsidP="00214F3D">
            <w:pPr>
              <w:autoSpaceDE w:val="0"/>
              <w:autoSpaceDN w:val="0"/>
              <w:adjustRightInd w:val="0"/>
              <w:spacing w:before="60" w:after="60"/>
              <w:rPr>
                <w:rFonts w:ascii="Arial" w:hAnsi="Arial" w:cs="Arial"/>
                <w:sz w:val="18"/>
                <w:szCs w:val="18"/>
              </w:rPr>
            </w:pPr>
          </w:p>
        </w:tc>
      </w:tr>
      <w:tr w:rsidR="00502FCD" w:rsidRPr="00227F90" w14:paraId="44DF3901" w14:textId="77777777" w:rsidTr="00EE683C">
        <w:trPr>
          <w:trHeight w:val="704"/>
        </w:trPr>
        <w:tc>
          <w:tcPr>
            <w:tcW w:w="8910" w:type="dxa"/>
            <w:gridSpan w:val="3"/>
            <w:tcBorders>
              <w:top w:val="single" w:sz="8" w:space="0" w:color="4A8783"/>
              <w:bottom w:val="single" w:sz="8" w:space="0" w:color="4A8783"/>
              <w:right w:val="single" w:sz="8" w:space="0" w:color="4A8783"/>
            </w:tcBorders>
          </w:tcPr>
          <w:p w14:paraId="5E070F38" w14:textId="77777777" w:rsidR="00F963A6" w:rsidRDefault="0072765C" w:rsidP="007001B4">
            <w:pPr>
              <w:autoSpaceDE w:val="0"/>
              <w:autoSpaceDN w:val="0"/>
              <w:adjustRightInd w:val="0"/>
              <w:rPr>
                <w:rFonts w:ascii="Arial" w:hAnsi="Arial" w:cs="Arial"/>
                <w:b/>
                <w:bCs/>
                <w:noProof/>
                <w:sz w:val="18"/>
                <w:szCs w:val="18"/>
                <w:lang w:eastAsia="en-GB"/>
              </w:rPr>
            </w:pPr>
            <w:r w:rsidRPr="0072765C">
              <w:rPr>
                <w:rFonts w:ascii="Arial" w:hAnsi="Arial" w:cs="Arial"/>
                <w:b/>
                <w:bCs/>
                <w:noProof/>
                <w:sz w:val="18"/>
                <w:szCs w:val="18"/>
                <w:lang w:eastAsia="en-GB"/>
              </w:rPr>
              <w:t>Experimental</w:t>
            </w:r>
          </w:p>
          <w:p w14:paraId="32CDA577" w14:textId="7D0E5ACB" w:rsidR="007001B4" w:rsidRDefault="0072765C" w:rsidP="007001B4">
            <w:pPr>
              <w:autoSpaceDE w:val="0"/>
              <w:autoSpaceDN w:val="0"/>
              <w:adjustRightInd w:val="0"/>
              <w:rPr>
                <w:rFonts w:asciiTheme="minorBidi" w:hAnsiTheme="minorBidi"/>
                <w:sz w:val="18"/>
                <w:szCs w:val="18"/>
              </w:rPr>
            </w:pPr>
            <w:r w:rsidRPr="0072765C">
              <w:rPr>
                <w:rFonts w:ascii="Arial" w:hAnsi="Arial" w:cs="Arial"/>
                <w:b/>
                <w:bCs/>
                <w:noProof/>
                <w:sz w:val="18"/>
                <w:szCs w:val="18"/>
                <w:lang w:eastAsia="en-GB"/>
              </w:rPr>
              <w:t xml:space="preserve"> procedures</w:t>
            </w:r>
            <w:r>
              <w:rPr>
                <w:rFonts w:ascii="Arial" w:hAnsi="Arial" w:cs="Arial"/>
                <w:b/>
                <w:bCs/>
                <w:noProof/>
                <w:sz w:val="18"/>
                <w:szCs w:val="18"/>
                <w:lang w:eastAsia="en-GB"/>
              </w:rPr>
              <w:t xml:space="preserve">   </w:t>
            </w:r>
            <w:r w:rsidR="00F963A6">
              <w:rPr>
                <w:rFonts w:ascii="Arial" w:hAnsi="Arial" w:cs="Arial"/>
                <w:b/>
                <w:bCs/>
                <w:noProof/>
                <w:sz w:val="18"/>
                <w:szCs w:val="18"/>
                <w:lang w:eastAsia="en-GB"/>
              </w:rPr>
              <w:t xml:space="preserve">  </w:t>
            </w:r>
            <w:r w:rsidR="008E6F57">
              <w:rPr>
                <w:rFonts w:ascii="Arial" w:hAnsi="Arial" w:cs="Arial"/>
                <w:b/>
                <w:bCs/>
                <w:noProof/>
                <w:sz w:val="18"/>
                <w:szCs w:val="18"/>
                <w:lang w:eastAsia="en-GB"/>
              </w:rPr>
              <w:t xml:space="preserve">              </w:t>
            </w:r>
            <w:r>
              <w:rPr>
                <w:rFonts w:ascii="Arial" w:hAnsi="Arial" w:cs="Arial"/>
                <w:b/>
                <w:bCs/>
                <w:noProof/>
                <w:sz w:val="18"/>
                <w:szCs w:val="18"/>
                <w:lang w:eastAsia="en-GB"/>
              </w:rPr>
              <w:t xml:space="preserve"> 7  </w:t>
            </w:r>
            <w:r w:rsidR="00367CC9">
              <w:rPr>
                <w:rFonts w:ascii="Arial" w:hAnsi="Arial" w:cs="Arial"/>
                <w:b/>
                <w:bCs/>
                <w:noProof/>
                <w:sz w:val="18"/>
                <w:szCs w:val="18"/>
                <w:lang w:eastAsia="en-GB"/>
              </w:rPr>
              <w:t>a, b, c, d,</w:t>
            </w:r>
            <w:r>
              <w:rPr>
                <w:rFonts w:ascii="Arial" w:hAnsi="Arial" w:cs="Arial"/>
                <w:b/>
                <w:bCs/>
                <w:noProof/>
                <w:sz w:val="18"/>
                <w:szCs w:val="18"/>
                <w:lang w:eastAsia="en-GB"/>
              </w:rPr>
              <w:t xml:space="preserve">   </w:t>
            </w:r>
            <w:r w:rsidRPr="004D41EB">
              <w:rPr>
                <w:rFonts w:asciiTheme="minorBidi" w:hAnsiTheme="minorBidi"/>
                <w:sz w:val="18"/>
                <w:szCs w:val="18"/>
              </w:rPr>
              <w:t>In the sham group, rats received saline, in the morphine group, rats received (IP)10 mg morphine</w:t>
            </w:r>
            <w:r>
              <w:rPr>
                <w:rFonts w:asciiTheme="minorBidi" w:hAnsiTheme="minorBidi"/>
                <w:sz w:val="18"/>
                <w:szCs w:val="18"/>
              </w:rPr>
              <w:t xml:space="preserve"> </w:t>
            </w:r>
            <w:proofErr w:type="spellStart"/>
            <w:r>
              <w:rPr>
                <w:rFonts w:asciiTheme="minorBidi" w:hAnsiTheme="minorBidi"/>
                <w:sz w:val="18"/>
                <w:szCs w:val="18"/>
              </w:rPr>
              <w:t>i.p.</w:t>
            </w:r>
            <w:proofErr w:type="spellEnd"/>
            <w:r>
              <w:rPr>
                <w:rFonts w:asciiTheme="minorBidi" w:hAnsiTheme="minorBidi"/>
                <w:sz w:val="18"/>
                <w:szCs w:val="18"/>
              </w:rPr>
              <w:t>,</w:t>
            </w:r>
            <w:r w:rsidRPr="004D41EB">
              <w:rPr>
                <w:rFonts w:asciiTheme="minorBidi" w:hAnsiTheme="minorBidi"/>
                <w:sz w:val="18"/>
                <w:szCs w:val="18"/>
              </w:rPr>
              <w:t xml:space="preserve"> in the treatment group, rats received 15ng ULD of naloxone</w:t>
            </w:r>
            <w:r w:rsidRPr="00085BDA">
              <w:rPr>
                <w:rFonts w:asciiTheme="minorBidi" w:hAnsiTheme="minorBidi"/>
                <w:sz w:val="18"/>
                <w:szCs w:val="18"/>
              </w:rPr>
              <w:t xml:space="preserve"> </w:t>
            </w:r>
            <w:proofErr w:type="spellStart"/>
            <w:r>
              <w:rPr>
                <w:rFonts w:asciiTheme="minorBidi" w:hAnsiTheme="minorBidi"/>
                <w:sz w:val="18"/>
                <w:szCs w:val="18"/>
              </w:rPr>
              <w:t>i.p</w:t>
            </w:r>
            <w:r w:rsidR="00FB1FBF">
              <w:rPr>
                <w:rFonts w:asciiTheme="minorBidi" w:hAnsiTheme="minorBidi"/>
                <w:sz w:val="18"/>
                <w:szCs w:val="18"/>
              </w:rPr>
              <w:t>.</w:t>
            </w:r>
            <w:proofErr w:type="spellEnd"/>
            <w:r w:rsidR="00FB1FBF">
              <w:rPr>
                <w:rFonts w:asciiTheme="minorBidi" w:hAnsiTheme="minorBidi"/>
                <w:sz w:val="18"/>
                <w:szCs w:val="18"/>
              </w:rPr>
              <w:t xml:space="preserve"> </w:t>
            </w:r>
            <w:r w:rsidRPr="004D41EB">
              <w:rPr>
                <w:rFonts w:asciiTheme="minorBidi" w:hAnsiTheme="minorBidi"/>
                <w:sz w:val="18"/>
                <w:szCs w:val="18"/>
              </w:rPr>
              <w:t xml:space="preserve">along with morphine, and in the saline group, rats received ULD of naloxone along with saline for 8 consecutive days. </w:t>
            </w:r>
            <w:r w:rsidR="00FB1FBF" w:rsidRPr="004D41EB">
              <w:rPr>
                <w:rFonts w:asciiTheme="minorBidi" w:hAnsiTheme="minorBidi"/>
                <w:sz w:val="18"/>
                <w:szCs w:val="18"/>
              </w:rPr>
              <w:t>Behavioural</w:t>
            </w:r>
            <w:r w:rsidRPr="004D41EB">
              <w:rPr>
                <w:rFonts w:asciiTheme="minorBidi" w:hAnsiTheme="minorBidi"/>
                <w:sz w:val="18"/>
                <w:szCs w:val="18"/>
              </w:rPr>
              <w:t xml:space="preserve"> tests were performed to evaluate tolerance on day 1 before and after the morphine injection, and days 5 and 8 by the tail-flick test (TL)</w:t>
            </w:r>
            <w:r>
              <w:rPr>
                <w:rFonts w:asciiTheme="minorBidi" w:hAnsiTheme="minorBidi"/>
                <w:sz w:val="18"/>
                <w:szCs w:val="18"/>
              </w:rPr>
              <w:t xml:space="preserve"> (</w:t>
            </w:r>
            <w:proofErr w:type="spellStart"/>
            <w:r w:rsidRPr="00631DDB">
              <w:rPr>
                <w:rFonts w:asciiTheme="minorBidi" w:hAnsiTheme="minorBidi"/>
                <w:sz w:val="18"/>
                <w:szCs w:val="18"/>
              </w:rPr>
              <w:t>Borje</w:t>
            </w:r>
            <w:proofErr w:type="spellEnd"/>
            <w:r w:rsidRPr="00631DDB">
              <w:rPr>
                <w:rFonts w:asciiTheme="minorBidi" w:hAnsiTheme="minorBidi"/>
                <w:sz w:val="18"/>
                <w:szCs w:val="18"/>
              </w:rPr>
              <w:t xml:space="preserve"> </w:t>
            </w:r>
            <w:proofErr w:type="spellStart"/>
            <w:r w:rsidRPr="00631DDB">
              <w:rPr>
                <w:rFonts w:asciiTheme="minorBidi" w:hAnsiTheme="minorBidi"/>
                <w:sz w:val="18"/>
                <w:szCs w:val="18"/>
              </w:rPr>
              <w:t>Sanat</w:t>
            </w:r>
            <w:proofErr w:type="spellEnd"/>
            <w:r w:rsidRPr="00631DDB">
              <w:rPr>
                <w:rFonts w:asciiTheme="minorBidi" w:hAnsiTheme="minorBidi"/>
                <w:sz w:val="18"/>
                <w:szCs w:val="18"/>
              </w:rPr>
              <w:t xml:space="preserve"> Co. Iran</w:t>
            </w:r>
            <w:r>
              <w:rPr>
                <w:rFonts w:ascii="AdvTT5ada87cc" w:hAnsi="AdvTT5ada87cc" w:cs="AdvTT5ada87cc"/>
                <w:sz w:val="18"/>
                <w:szCs w:val="18"/>
              </w:rPr>
              <w:t>)</w:t>
            </w:r>
            <w:r w:rsidRPr="004D41EB">
              <w:rPr>
                <w:rFonts w:asciiTheme="minorBidi" w:hAnsiTheme="minorBidi"/>
                <w:sz w:val="18"/>
                <w:szCs w:val="18"/>
              </w:rPr>
              <w:t>; and on day 1 before morphine injection and day 10, 48h after last morphine injection to evaluate OIH by plantar test</w:t>
            </w:r>
            <w:r>
              <w:rPr>
                <w:rFonts w:asciiTheme="minorBidi" w:hAnsiTheme="minorBidi"/>
                <w:sz w:val="18"/>
                <w:szCs w:val="18"/>
              </w:rPr>
              <w:t xml:space="preserve"> (</w:t>
            </w:r>
            <w:r>
              <w:rPr>
                <w:rFonts w:asciiTheme="majorBidi" w:hAnsiTheme="majorBidi" w:cstheme="majorBidi"/>
                <w:color w:val="1C1E29"/>
              </w:rPr>
              <w:t>Ugo Basile, Italy)</w:t>
            </w:r>
            <w:r w:rsidRPr="004D41EB">
              <w:rPr>
                <w:rFonts w:asciiTheme="minorBidi" w:hAnsiTheme="minorBidi"/>
                <w:sz w:val="18"/>
                <w:szCs w:val="18"/>
              </w:rPr>
              <w:t>.</w:t>
            </w:r>
            <w:r w:rsidR="007001B4">
              <w:rPr>
                <w:rFonts w:asciiTheme="minorBidi" w:hAnsiTheme="minorBidi"/>
                <w:sz w:val="18"/>
                <w:szCs w:val="18"/>
              </w:rPr>
              <w:t xml:space="preserve"> </w:t>
            </w:r>
            <w:r w:rsidR="007001B4" w:rsidRPr="004D41EB">
              <w:rPr>
                <w:rFonts w:asciiTheme="minorBidi" w:hAnsiTheme="minorBidi"/>
                <w:sz w:val="18"/>
                <w:szCs w:val="18"/>
              </w:rPr>
              <w:t xml:space="preserve">Three rats from all groups were </w:t>
            </w:r>
            <w:r w:rsidR="00FB1FBF">
              <w:rPr>
                <w:rFonts w:asciiTheme="minorBidi" w:hAnsiTheme="minorBidi"/>
                <w:sz w:val="18"/>
                <w:szCs w:val="18"/>
              </w:rPr>
              <w:t>euthanized</w:t>
            </w:r>
            <w:r w:rsidR="007001B4" w:rsidRPr="004D41EB">
              <w:rPr>
                <w:rFonts w:asciiTheme="minorBidi" w:hAnsiTheme="minorBidi"/>
                <w:sz w:val="18"/>
                <w:szCs w:val="18"/>
              </w:rPr>
              <w:t xml:space="preserve"> under (2.0-2.5%) </w:t>
            </w:r>
            <w:bookmarkStart w:id="0" w:name="_Hlk32167767"/>
            <w:r w:rsidR="007001B4" w:rsidRPr="004D41EB">
              <w:rPr>
                <w:rFonts w:asciiTheme="minorBidi" w:hAnsiTheme="minorBidi"/>
                <w:sz w:val="18"/>
                <w:szCs w:val="18"/>
              </w:rPr>
              <w:t>Isoflurane</w:t>
            </w:r>
            <w:bookmarkEnd w:id="0"/>
            <w:r w:rsidR="007001B4" w:rsidRPr="004D41EB">
              <w:rPr>
                <w:rFonts w:asciiTheme="minorBidi" w:hAnsiTheme="minorBidi"/>
                <w:sz w:val="18"/>
                <w:szCs w:val="18"/>
              </w:rPr>
              <w:t xml:space="preserve"> </w:t>
            </w:r>
            <w:r w:rsidR="007001B4">
              <w:rPr>
                <w:rFonts w:asciiTheme="minorBidi" w:hAnsiTheme="minorBidi"/>
                <w:sz w:val="18"/>
                <w:szCs w:val="18"/>
              </w:rPr>
              <w:t xml:space="preserve">inhalation </w:t>
            </w:r>
            <w:r w:rsidR="007001B4" w:rsidRPr="004D41EB">
              <w:rPr>
                <w:rFonts w:asciiTheme="minorBidi" w:hAnsiTheme="minorBidi"/>
                <w:sz w:val="18"/>
                <w:szCs w:val="18"/>
              </w:rPr>
              <w:t xml:space="preserve">anesthesia on day 8 and the Lumbar segments of the spinal cord were collected (to study BDNF expression by the western blotting method). On day 10 three rats </w:t>
            </w:r>
            <w:bookmarkStart w:id="1" w:name="_Hlk32104132"/>
            <w:r w:rsidR="007001B4" w:rsidRPr="004D41EB">
              <w:rPr>
                <w:rFonts w:asciiTheme="minorBidi" w:hAnsiTheme="minorBidi"/>
                <w:sz w:val="18"/>
                <w:szCs w:val="18"/>
              </w:rPr>
              <w:t xml:space="preserve">from all </w:t>
            </w:r>
            <w:bookmarkEnd w:id="1"/>
            <w:r w:rsidR="007001B4" w:rsidRPr="004D41EB">
              <w:rPr>
                <w:rFonts w:asciiTheme="minorBidi" w:hAnsiTheme="minorBidi"/>
                <w:sz w:val="18"/>
                <w:szCs w:val="18"/>
              </w:rPr>
              <w:t xml:space="preserve">groups were deeply anesthetized by </w:t>
            </w:r>
            <w:bookmarkStart w:id="2" w:name="_Hlk32167790"/>
            <w:bookmarkStart w:id="3" w:name="_Hlk32168443"/>
            <w:r w:rsidR="007001B4" w:rsidRPr="004D41EB">
              <w:rPr>
                <w:rFonts w:asciiTheme="minorBidi" w:hAnsiTheme="minorBidi"/>
                <w:sz w:val="18"/>
                <w:szCs w:val="18"/>
              </w:rPr>
              <w:t xml:space="preserve">ketamine (10%) and xylazine </w:t>
            </w:r>
            <w:bookmarkEnd w:id="2"/>
            <w:r w:rsidR="007001B4" w:rsidRPr="004D41EB">
              <w:rPr>
                <w:rFonts w:asciiTheme="minorBidi" w:hAnsiTheme="minorBidi"/>
                <w:sz w:val="18"/>
                <w:szCs w:val="18"/>
              </w:rPr>
              <w:t>(2%)</w:t>
            </w:r>
            <w:r w:rsidR="007001B4">
              <w:rPr>
                <w:rFonts w:asciiTheme="minorBidi" w:hAnsiTheme="minorBidi"/>
                <w:sz w:val="18"/>
                <w:szCs w:val="18"/>
              </w:rPr>
              <w:t xml:space="preserve"> </w:t>
            </w:r>
            <w:proofErr w:type="spellStart"/>
            <w:r w:rsidR="007001B4">
              <w:rPr>
                <w:rFonts w:asciiTheme="minorBidi" w:hAnsiTheme="minorBidi"/>
                <w:sz w:val="18"/>
                <w:szCs w:val="18"/>
              </w:rPr>
              <w:t>i.p</w:t>
            </w:r>
            <w:r w:rsidR="00FB1FBF">
              <w:rPr>
                <w:rFonts w:asciiTheme="minorBidi" w:hAnsiTheme="minorBidi"/>
                <w:sz w:val="18"/>
                <w:szCs w:val="18"/>
              </w:rPr>
              <w:t>.</w:t>
            </w:r>
            <w:proofErr w:type="spellEnd"/>
            <w:r w:rsidR="007001B4" w:rsidRPr="004D41EB">
              <w:rPr>
                <w:rFonts w:asciiTheme="minorBidi" w:hAnsiTheme="minorBidi"/>
                <w:sz w:val="18"/>
                <w:szCs w:val="18"/>
              </w:rPr>
              <w:t xml:space="preserve"> </w:t>
            </w:r>
            <w:bookmarkEnd w:id="3"/>
            <w:r w:rsidR="007001B4" w:rsidRPr="004D41EB">
              <w:rPr>
                <w:rFonts w:asciiTheme="minorBidi" w:hAnsiTheme="minorBidi"/>
                <w:sz w:val="18"/>
                <w:szCs w:val="18"/>
              </w:rPr>
              <w:t xml:space="preserve">and </w:t>
            </w:r>
            <w:proofErr w:type="spellStart"/>
            <w:r w:rsidR="007001B4" w:rsidRPr="004D41EB">
              <w:rPr>
                <w:rFonts w:asciiTheme="minorBidi" w:hAnsiTheme="minorBidi"/>
                <w:sz w:val="18"/>
                <w:szCs w:val="18"/>
              </w:rPr>
              <w:t>transc</w:t>
            </w:r>
            <w:r w:rsidR="007001B4">
              <w:rPr>
                <w:rFonts w:asciiTheme="minorBidi" w:hAnsiTheme="minorBidi"/>
                <w:sz w:val="18"/>
                <w:szCs w:val="18"/>
              </w:rPr>
              <w:t>a</w:t>
            </w:r>
            <w:r w:rsidR="007001B4" w:rsidRPr="004D41EB">
              <w:rPr>
                <w:rFonts w:asciiTheme="minorBidi" w:hAnsiTheme="minorBidi"/>
                <w:sz w:val="18"/>
                <w:szCs w:val="18"/>
              </w:rPr>
              <w:t>rdially</w:t>
            </w:r>
            <w:proofErr w:type="spellEnd"/>
            <w:r w:rsidR="007001B4" w:rsidRPr="004D41EB">
              <w:rPr>
                <w:rFonts w:asciiTheme="minorBidi" w:hAnsiTheme="minorBidi"/>
                <w:sz w:val="18"/>
                <w:szCs w:val="18"/>
              </w:rPr>
              <w:t xml:space="preserve"> perfused with phosphate-buffered saline. Spinal cords were isolated and lumbar segments were removed (to study KCC2 expression by the immunohistochemistry method). </w:t>
            </w:r>
            <w:r w:rsidR="007001B4" w:rsidRPr="00085BDA">
              <w:rPr>
                <w:rFonts w:asciiTheme="minorBidi" w:hAnsiTheme="minorBidi"/>
                <w:sz w:val="18"/>
                <w:szCs w:val="18"/>
              </w:rPr>
              <w:t xml:space="preserve">All experiments were done from 8 am until </w:t>
            </w:r>
            <w:r w:rsidR="007001B4">
              <w:rPr>
                <w:rFonts w:asciiTheme="minorBidi" w:hAnsiTheme="minorBidi"/>
                <w:sz w:val="18"/>
                <w:szCs w:val="18"/>
              </w:rPr>
              <w:t>4</w:t>
            </w:r>
            <w:r w:rsidR="007001B4" w:rsidRPr="00085BDA">
              <w:rPr>
                <w:rFonts w:asciiTheme="minorBidi" w:hAnsiTheme="minorBidi"/>
                <w:sz w:val="18"/>
                <w:szCs w:val="18"/>
              </w:rPr>
              <w:t xml:space="preserve"> pm. </w:t>
            </w:r>
            <w:r w:rsidR="007001B4">
              <w:rPr>
                <w:rFonts w:asciiTheme="minorBidi" w:hAnsiTheme="minorBidi"/>
                <w:sz w:val="18"/>
                <w:szCs w:val="18"/>
              </w:rPr>
              <w:t xml:space="preserve"> </w:t>
            </w:r>
          </w:p>
          <w:p w14:paraId="564CC80C" w14:textId="16519DAD" w:rsidR="007001B4" w:rsidRPr="0072765C" w:rsidRDefault="007001B4" w:rsidP="007001B4">
            <w:pPr>
              <w:pStyle w:val="NoSpacing"/>
              <w:rPr>
                <w:rFonts w:ascii="Arial" w:hAnsi="Arial" w:cs="Arial"/>
                <w:b/>
                <w:bCs/>
                <w:noProof/>
                <w:sz w:val="18"/>
                <w:szCs w:val="18"/>
                <w:lang w:eastAsia="en-GB"/>
              </w:rPr>
            </w:pPr>
          </w:p>
        </w:tc>
        <w:tc>
          <w:tcPr>
            <w:tcW w:w="1530" w:type="dxa"/>
            <w:tcBorders>
              <w:top w:val="single" w:sz="8" w:space="0" w:color="4A8783"/>
              <w:left w:val="single" w:sz="8" w:space="0" w:color="4A8783"/>
              <w:bottom w:val="single" w:sz="8" w:space="0" w:color="4A8783"/>
            </w:tcBorders>
          </w:tcPr>
          <w:p w14:paraId="17844F97" w14:textId="7D6FD7DF" w:rsidR="00502FCD" w:rsidRDefault="007001B4" w:rsidP="00214F3D">
            <w:pPr>
              <w:autoSpaceDE w:val="0"/>
              <w:autoSpaceDN w:val="0"/>
              <w:adjustRightInd w:val="0"/>
              <w:spacing w:before="60" w:after="60"/>
              <w:rPr>
                <w:rFonts w:ascii="Arial" w:hAnsi="Arial" w:cs="Arial"/>
                <w:sz w:val="18"/>
                <w:szCs w:val="18"/>
              </w:rPr>
            </w:pPr>
            <w:r>
              <w:rPr>
                <w:rFonts w:ascii="Arial" w:hAnsi="Arial" w:cs="Arial"/>
                <w:sz w:val="18"/>
                <w:szCs w:val="18"/>
              </w:rPr>
              <w:t xml:space="preserve">Paragraph </w:t>
            </w:r>
            <w:r w:rsidR="00367CC9">
              <w:rPr>
                <w:rFonts w:ascii="Arial" w:hAnsi="Arial" w:cs="Arial"/>
                <w:sz w:val="18"/>
                <w:szCs w:val="18"/>
              </w:rPr>
              <w:t>4</w:t>
            </w:r>
          </w:p>
          <w:p w14:paraId="4A9C450F" w14:textId="77777777" w:rsidR="007001B4" w:rsidRDefault="007001B4" w:rsidP="00214F3D">
            <w:pPr>
              <w:autoSpaceDE w:val="0"/>
              <w:autoSpaceDN w:val="0"/>
              <w:adjustRightInd w:val="0"/>
              <w:spacing w:before="60" w:after="60"/>
              <w:rPr>
                <w:rFonts w:ascii="Arial" w:hAnsi="Arial" w:cs="Arial"/>
                <w:sz w:val="18"/>
                <w:szCs w:val="18"/>
              </w:rPr>
            </w:pPr>
          </w:p>
          <w:p w14:paraId="1F14E637" w14:textId="77777777" w:rsidR="007001B4" w:rsidRDefault="007001B4" w:rsidP="00214F3D">
            <w:pPr>
              <w:autoSpaceDE w:val="0"/>
              <w:autoSpaceDN w:val="0"/>
              <w:adjustRightInd w:val="0"/>
              <w:spacing w:before="60" w:after="60"/>
              <w:rPr>
                <w:rFonts w:ascii="Arial" w:hAnsi="Arial" w:cs="Arial"/>
                <w:sz w:val="18"/>
                <w:szCs w:val="18"/>
              </w:rPr>
            </w:pPr>
          </w:p>
          <w:p w14:paraId="0153E807" w14:textId="77777777" w:rsidR="007001B4" w:rsidRDefault="007001B4" w:rsidP="00214F3D">
            <w:pPr>
              <w:autoSpaceDE w:val="0"/>
              <w:autoSpaceDN w:val="0"/>
              <w:adjustRightInd w:val="0"/>
              <w:spacing w:before="60" w:after="60"/>
              <w:rPr>
                <w:rFonts w:ascii="Arial" w:hAnsi="Arial" w:cs="Arial"/>
                <w:sz w:val="18"/>
                <w:szCs w:val="18"/>
              </w:rPr>
            </w:pPr>
          </w:p>
          <w:p w14:paraId="0DC9C419" w14:textId="77777777" w:rsidR="007001B4" w:rsidRDefault="007001B4" w:rsidP="00214F3D">
            <w:pPr>
              <w:autoSpaceDE w:val="0"/>
              <w:autoSpaceDN w:val="0"/>
              <w:adjustRightInd w:val="0"/>
              <w:spacing w:before="60" w:after="60"/>
              <w:rPr>
                <w:rFonts w:ascii="Arial" w:hAnsi="Arial" w:cs="Arial"/>
                <w:sz w:val="18"/>
                <w:szCs w:val="18"/>
              </w:rPr>
            </w:pPr>
          </w:p>
          <w:p w14:paraId="5AA346C7" w14:textId="39986514" w:rsidR="007001B4" w:rsidRPr="00227F90" w:rsidRDefault="007001B4" w:rsidP="00214F3D">
            <w:pPr>
              <w:autoSpaceDE w:val="0"/>
              <w:autoSpaceDN w:val="0"/>
              <w:adjustRightInd w:val="0"/>
              <w:spacing w:before="60" w:after="60"/>
              <w:rPr>
                <w:rFonts w:ascii="Arial" w:hAnsi="Arial" w:cs="Arial"/>
                <w:sz w:val="18"/>
                <w:szCs w:val="18"/>
              </w:rPr>
            </w:pPr>
          </w:p>
        </w:tc>
      </w:tr>
      <w:tr w:rsidR="002D2B0E" w:rsidRPr="00227F90" w14:paraId="6BCA61CD" w14:textId="77777777" w:rsidTr="00EE683C">
        <w:trPr>
          <w:trHeight w:val="1322"/>
        </w:trPr>
        <w:tc>
          <w:tcPr>
            <w:tcW w:w="8910" w:type="dxa"/>
            <w:gridSpan w:val="3"/>
            <w:tcBorders>
              <w:top w:val="single" w:sz="8" w:space="0" w:color="4A8783"/>
              <w:bottom w:val="single" w:sz="8" w:space="0" w:color="4A8783"/>
              <w:right w:val="single" w:sz="8" w:space="0" w:color="4A8783"/>
            </w:tcBorders>
          </w:tcPr>
          <w:p w14:paraId="2FDF855E" w14:textId="77777777" w:rsidR="00F963A6" w:rsidRDefault="00027315" w:rsidP="00027315">
            <w:pPr>
              <w:pStyle w:val="NormalWeb"/>
              <w:spacing w:before="0" w:beforeAutospacing="0" w:after="0" w:afterAutospacing="0"/>
              <w:jc w:val="both"/>
              <w:rPr>
                <w:rFonts w:ascii="Arial" w:hAnsi="Arial" w:cs="Arial"/>
                <w:b/>
                <w:bCs/>
                <w:noProof/>
                <w:sz w:val="18"/>
                <w:szCs w:val="18"/>
                <w:lang w:eastAsia="en-GB"/>
              </w:rPr>
            </w:pPr>
            <w:r w:rsidRPr="00027315">
              <w:rPr>
                <w:rFonts w:ascii="Arial" w:hAnsi="Arial" w:cs="Arial"/>
                <w:b/>
                <w:bCs/>
                <w:noProof/>
                <w:sz w:val="18"/>
                <w:szCs w:val="18"/>
                <w:lang w:eastAsia="en-GB"/>
              </w:rPr>
              <w:lastRenderedPageBreak/>
              <w:t>Experimental</w:t>
            </w:r>
          </w:p>
          <w:p w14:paraId="30DE8B4C" w14:textId="5B675B66" w:rsidR="007722C1" w:rsidRPr="007722C1" w:rsidRDefault="00027315" w:rsidP="007722C1">
            <w:pPr>
              <w:pStyle w:val="NoSpacing"/>
              <w:rPr>
                <w:rFonts w:asciiTheme="minorBidi" w:hAnsiTheme="minorBidi"/>
                <w:sz w:val="18"/>
                <w:szCs w:val="18"/>
              </w:rPr>
            </w:pPr>
            <w:r w:rsidRPr="00027315">
              <w:rPr>
                <w:rFonts w:ascii="Arial" w:hAnsi="Arial" w:cs="Arial"/>
                <w:b/>
                <w:bCs/>
                <w:noProof/>
                <w:sz w:val="18"/>
                <w:szCs w:val="18"/>
                <w:lang w:eastAsia="en-GB"/>
              </w:rPr>
              <w:t xml:space="preserve"> </w:t>
            </w:r>
            <w:r w:rsidR="00F963A6">
              <w:rPr>
                <w:rFonts w:ascii="Arial" w:hAnsi="Arial" w:cs="Arial"/>
                <w:b/>
                <w:bCs/>
                <w:noProof/>
                <w:sz w:val="18"/>
                <w:szCs w:val="18"/>
                <w:lang w:eastAsia="en-GB"/>
              </w:rPr>
              <w:t>a</w:t>
            </w:r>
            <w:r>
              <w:rPr>
                <w:rFonts w:ascii="Arial" w:hAnsi="Arial" w:cs="Arial"/>
                <w:b/>
                <w:bCs/>
                <w:noProof/>
                <w:sz w:val="18"/>
                <w:szCs w:val="18"/>
                <w:lang w:eastAsia="en-GB"/>
              </w:rPr>
              <w:t xml:space="preserve">nimals      </w:t>
            </w:r>
            <w:r w:rsidR="00F963A6">
              <w:rPr>
                <w:rFonts w:ascii="Arial" w:hAnsi="Arial" w:cs="Arial"/>
                <w:b/>
                <w:bCs/>
                <w:noProof/>
                <w:sz w:val="18"/>
                <w:szCs w:val="18"/>
                <w:lang w:eastAsia="en-GB"/>
              </w:rPr>
              <w:t xml:space="preserve">   </w:t>
            </w:r>
            <w:r w:rsidR="008E6F57">
              <w:rPr>
                <w:rFonts w:ascii="Arial" w:hAnsi="Arial" w:cs="Arial"/>
                <w:b/>
                <w:bCs/>
                <w:noProof/>
                <w:sz w:val="18"/>
                <w:szCs w:val="18"/>
                <w:lang w:eastAsia="en-GB"/>
              </w:rPr>
              <w:t xml:space="preserve">                </w:t>
            </w:r>
            <w:r w:rsidR="00F963A6">
              <w:rPr>
                <w:rFonts w:ascii="Arial" w:hAnsi="Arial" w:cs="Arial"/>
                <w:b/>
                <w:bCs/>
                <w:noProof/>
                <w:sz w:val="18"/>
                <w:szCs w:val="18"/>
                <w:lang w:eastAsia="en-GB"/>
              </w:rPr>
              <w:t xml:space="preserve"> </w:t>
            </w:r>
            <w:r>
              <w:rPr>
                <w:rFonts w:ascii="Arial" w:hAnsi="Arial" w:cs="Arial"/>
                <w:b/>
                <w:bCs/>
                <w:noProof/>
                <w:sz w:val="18"/>
                <w:szCs w:val="18"/>
                <w:lang w:eastAsia="en-GB"/>
              </w:rPr>
              <w:t xml:space="preserve"> </w:t>
            </w:r>
            <w:r w:rsidR="003E3FB3">
              <w:rPr>
                <w:rFonts w:ascii="Arial" w:hAnsi="Arial" w:cs="Arial"/>
                <w:b/>
                <w:bCs/>
                <w:noProof/>
                <w:sz w:val="18"/>
                <w:szCs w:val="18"/>
                <w:lang w:eastAsia="en-GB"/>
              </w:rPr>
              <w:t xml:space="preserve"> </w:t>
            </w:r>
            <w:r>
              <w:rPr>
                <w:rFonts w:ascii="Arial" w:hAnsi="Arial" w:cs="Arial"/>
                <w:b/>
                <w:bCs/>
                <w:noProof/>
                <w:sz w:val="18"/>
                <w:szCs w:val="18"/>
                <w:lang w:eastAsia="en-GB"/>
              </w:rPr>
              <w:t xml:space="preserve">8 </w:t>
            </w:r>
            <w:r w:rsidR="003E3FB3">
              <w:rPr>
                <w:rFonts w:ascii="Arial" w:hAnsi="Arial" w:cs="Arial"/>
                <w:b/>
                <w:bCs/>
                <w:noProof/>
                <w:sz w:val="18"/>
                <w:szCs w:val="18"/>
                <w:lang w:eastAsia="en-GB"/>
              </w:rPr>
              <w:t xml:space="preserve"> </w:t>
            </w:r>
            <w:r w:rsidR="000B0CCD">
              <w:rPr>
                <w:rFonts w:ascii="Arial" w:hAnsi="Arial" w:cs="Arial"/>
                <w:b/>
                <w:bCs/>
                <w:noProof/>
                <w:sz w:val="18"/>
                <w:szCs w:val="18"/>
                <w:lang w:eastAsia="en-GB"/>
              </w:rPr>
              <w:t xml:space="preserve"> </w:t>
            </w:r>
            <w:r>
              <w:rPr>
                <w:rFonts w:ascii="Arial" w:hAnsi="Arial" w:cs="Arial"/>
                <w:b/>
                <w:bCs/>
                <w:noProof/>
                <w:sz w:val="18"/>
                <w:szCs w:val="18"/>
                <w:lang w:eastAsia="en-GB"/>
              </w:rPr>
              <w:t xml:space="preserve"> </w:t>
            </w:r>
            <w:r w:rsidR="007722C1">
              <w:rPr>
                <w:rFonts w:ascii="Arial" w:hAnsi="Arial" w:cs="Arial"/>
                <w:b/>
                <w:bCs/>
                <w:noProof/>
                <w:sz w:val="18"/>
                <w:szCs w:val="18"/>
                <w:lang w:eastAsia="en-GB"/>
              </w:rPr>
              <w:t xml:space="preserve">a. b.   </w:t>
            </w:r>
            <w:r w:rsidRPr="00027315">
              <w:rPr>
                <w:rFonts w:asciiTheme="minorBidi" w:hAnsiTheme="minorBidi"/>
                <w:sz w:val="18"/>
                <w:szCs w:val="18"/>
              </w:rPr>
              <w:t>Experiments were done on forty-eight adult male Wistar rats (</w:t>
            </w:r>
            <w:r w:rsidR="007722C1" w:rsidRPr="00027315">
              <w:rPr>
                <w:rFonts w:asciiTheme="minorBidi" w:hAnsiTheme="minorBidi"/>
                <w:sz w:val="18"/>
                <w:szCs w:val="18"/>
              </w:rPr>
              <w:t>Pasture</w:t>
            </w:r>
            <w:r w:rsidR="007722C1">
              <w:rPr>
                <w:rFonts w:asciiTheme="minorBidi" w:hAnsiTheme="minorBidi"/>
                <w:sz w:val="18"/>
                <w:szCs w:val="18"/>
              </w:rPr>
              <w:t xml:space="preserve"> Institute</w:t>
            </w:r>
            <w:r w:rsidRPr="00027315">
              <w:rPr>
                <w:rFonts w:asciiTheme="minorBidi" w:hAnsiTheme="minorBidi"/>
                <w:sz w:val="18"/>
                <w:szCs w:val="18"/>
              </w:rPr>
              <w:t xml:space="preserve"> – Tehran, Iran), weight 180–220g that were housed three rats per cage and placed under a 12 h light/dark cycle in a room with controlled temperature (22 ± 1 °C) for ten days. Animals had ad libitum access to food and water. </w:t>
            </w:r>
            <w:r w:rsidR="00C972AD" w:rsidRPr="004D41EB">
              <w:rPr>
                <w:rFonts w:asciiTheme="minorBidi" w:hAnsiTheme="minorBidi"/>
                <w:sz w:val="18"/>
                <w:szCs w:val="18"/>
              </w:rPr>
              <w:t>Animals were allowed to habituate to the housing circumstances for several days before the experiments began. Behavioral studies were performed in a quiet condition</w:t>
            </w:r>
            <w:r w:rsidR="00C972AD" w:rsidRPr="00DA2198">
              <w:rPr>
                <w:rFonts w:asciiTheme="minorBidi" w:hAnsiTheme="minorBidi"/>
                <w:color w:val="0070C0"/>
                <w:sz w:val="18"/>
                <w:szCs w:val="18"/>
              </w:rPr>
              <w:t>.</w:t>
            </w:r>
            <w:r w:rsidR="007722C1" w:rsidRPr="004D703F">
              <w:rPr>
                <w:rFonts w:asciiTheme="minorBidi" w:hAnsiTheme="minorBidi"/>
                <w:sz w:val="18"/>
                <w:szCs w:val="18"/>
              </w:rPr>
              <w:t xml:space="preserve"> Animals were allowed to habituate to the housing circumstances for several days before the experiments began. Behavioral studies were performed in a quiet condition</w:t>
            </w:r>
            <w:r w:rsidR="007722C1" w:rsidRPr="004D703F">
              <w:rPr>
                <w:rFonts w:asciiTheme="minorBidi" w:hAnsiTheme="minorBidi"/>
                <w:color w:val="0070C0"/>
                <w:sz w:val="18"/>
                <w:szCs w:val="18"/>
              </w:rPr>
              <w:t>.</w:t>
            </w:r>
          </w:p>
          <w:p w14:paraId="772CA4E5" w14:textId="6492B793" w:rsidR="00027315" w:rsidRPr="00027315" w:rsidRDefault="00027315" w:rsidP="00027315">
            <w:pPr>
              <w:pStyle w:val="NormalWeb"/>
              <w:spacing w:before="0" w:beforeAutospacing="0" w:after="0" w:afterAutospacing="0"/>
              <w:jc w:val="both"/>
              <w:rPr>
                <w:rFonts w:asciiTheme="minorBidi" w:hAnsiTheme="minorBidi" w:cstheme="minorBidi"/>
                <w:sz w:val="18"/>
                <w:szCs w:val="18"/>
              </w:rPr>
            </w:pPr>
          </w:p>
          <w:p w14:paraId="0EE9D475" w14:textId="06BEEAB8" w:rsidR="00027315" w:rsidRDefault="00027315" w:rsidP="00027315">
            <w:pPr>
              <w:pStyle w:val="NormalWeb"/>
              <w:spacing w:before="0" w:beforeAutospacing="0" w:after="0" w:afterAutospacing="0"/>
              <w:jc w:val="both"/>
              <w:rPr>
                <w:rFonts w:ascii="Arial" w:hAnsi="Arial" w:cs="Arial"/>
                <w:b/>
                <w:bCs/>
                <w:noProof/>
                <w:sz w:val="18"/>
                <w:szCs w:val="18"/>
                <w:lang w:eastAsia="en-GB"/>
              </w:rPr>
            </w:pPr>
            <w:r>
              <w:rPr>
                <w:rFonts w:ascii="Arial" w:hAnsi="Arial" w:cs="Arial"/>
                <w:b/>
                <w:bCs/>
                <w:noProof/>
                <w:sz w:val="18"/>
                <w:szCs w:val="18"/>
                <w:lang w:eastAsia="en-GB"/>
              </w:rPr>
              <w:t xml:space="preserve"> </w:t>
            </w:r>
          </w:p>
          <w:p w14:paraId="429AA6BE" w14:textId="45FA5827" w:rsidR="002D2B0E" w:rsidRPr="00027315" w:rsidRDefault="00027315" w:rsidP="00027315">
            <w:pPr>
              <w:pStyle w:val="NormalWeb"/>
              <w:spacing w:before="0" w:beforeAutospacing="0" w:after="0" w:afterAutospacing="0"/>
              <w:jc w:val="both"/>
              <w:rPr>
                <w:rFonts w:ascii="Arial" w:hAnsi="Arial" w:cs="Arial"/>
                <w:b/>
                <w:bCs/>
                <w:sz w:val="18"/>
                <w:szCs w:val="18"/>
              </w:rPr>
            </w:pPr>
            <w:r>
              <w:rPr>
                <w:rFonts w:ascii="Arial" w:hAnsi="Arial" w:cs="Arial"/>
                <w:b/>
                <w:bCs/>
                <w:noProof/>
                <w:sz w:val="18"/>
                <w:szCs w:val="18"/>
                <w:lang w:eastAsia="en-GB"/>
              </w:rPr>
              <w:t xml:space="preserve">             </w:t>
            </w:r>
          </w:p>
        </w:tc>
        <w:tc>
          <w:tcPr>
            <w:tcW w:w="1530" w:type="dxa"/>
            <w:tcBorders>
              <w:top w:val="single" w:sz="8" w:space="0" w:color="4A8783"/>
              <w:left w:val="single" w:sz="8" w:space="0" w:color="4A8783"/>
              <w:bottom w:val="single" w:sz="8" w:space="0" w:color="4A8783"/>
            </w:tcBorders>
          </w:tcPr>
          <w:p w14:paraId="41FB9686" w14:textId="310EB491" w:rsidR="002D2B0E" w:rsidRPr="00227F90" w:rsidRDefault="00027315" w:rsidP="00214F3D">
            <w:pPr>
              <w:autoSpaceDE w:val="0"/>
              <w:autoSpaceDN w:val="0"/>
              <w:adjustRightInd w:val="0"/>
              <w:spacing w:before="60" w:after="60"/>
              <w:rPr>
                <w:rFonts w:ascii="Arial" w:hAnsi="Arial" w:cs="Arial"/>
                <w:sz w:val="18"/>
                <w:szCs w:val="18"/>
              </w:rPr>
            </w:pPr>
            <w:r>
              <w:rPr>
                <w:rFonts w:ascii="Arial" w:hAnsi="Arial" w:cs="Arial"/>
                <w:sz w:val="18"/>
                <w:szCs w:val="18"/>
              </w:rPr>
              <w:t xml:space="preserve">Paragraph </w:t>
            </w:r>
            <w:r w:rsidR="00C972AD">
              <w:rPr>
                <w:rFonts w:ascii="Arial" w:hAnsi="Arial" w:cs="Arial"/>
                <w:sz w:val="18"/>
                <w:szCs w:val="18"/>
              </w:rPr>
              <w:t>1</w:t>
            </w:r>
            <w:r w:rsidR="005906CF">
              <w:rPr>
                <w:rFonts w:ascii="Arial" w:hAnsi="Arial" w:cs="Arial"/>
                <w:sz w:val="18"/>
                <w:szCs w:val="18"/>
              </w:rPr>
              <w:t>&amp;2</w:t>
            </w:r>
          </w:p>
        </w:tc>
      </w:tr>
    </w:tbl>
    <w:p w14:paraId="4E16EE7B" w14:textId="741D5B2B" w:rsidR="00450565" w:rsidRPr="00227F90" w:rsidRDefault="003415AA" w:rsidP="003415AA">
      <w:pPr>
        <w:jc w:val="center"/>
        <w:rPr>
          <w:rFonts w:ascii="Arial" w:hAnsi="Arial" w:cs="Arial"/>
        </w:rPr>
      </w:pPr>
      <w:r>
        <w:rPr>
          <w:rFonts w:ascii="Arial" w:hAnsi="Arial" w:cs="Arial"/>
          <w:sz w:val="16"/>
          <w:szCs w:val="16"/>
        </w:rPr>
        <w:t xml:space="preserve">                                                                                                   </w:t>
      </w:r>
      <w:r w:rsidR="00502FCD" w:rsidRPr="00227F90">
        <w:rPr>
          <w:rFonts w:ascii="Arial" w:hAnsi="Arial" w:cs="Arial"/>
          <w:sz w:val="16"/>
          <w:szCs w:val="16"/>
        </w:rPr>
        <w:t xml:space="preserve">The ARRIVE guidelines. </w:t>
      </w:r>
      <w:r w:rsidR="00450565" w:rsidRPr="00227F90">
        <w:rPr>
          <w:rFonts w:ascii="Arial" w:hAnsi="Arial" w:cs="Arial"/>
          <w:sz w:val="16"/>
          <w:szCs w:val="16"/>
        </w:rPr>
        <w:t xml:space="preserve">Originally published in </w:t>
      </w:r>
      <w:proofErr w:type="spellStart"/>
      <w:r w:rsidR="00450565" w:rsidRPr="00227F90">
        <w:rPr>
          <w:rFonts w:ascii="Arial" w:hAnsi="Arial" w:cs="Arial"/>
          <w:i/>
          <w:iCs/>
          <w:sz w:val="16"/>
          <w:szCs w:val="16"/>
        </w:rPr>
        <w:t>PLoS</w:t>
      </w:r>
      <w:proofErr w:type="spellEnd"/>
      <w:r w:rsidR="00450565" w:rsidRPr="00227F90">
        <w:rPr>
          <w:rFonts w:ascii="Arial" w:hAnsi="Arial" w:cs="Arial"/>
          <w:i/>
          <w:iCs/>
          <w:sz w:val="16"/>
          <w:szCs w:val="16"/>
        </w:rPr>
        <w:t xml:space="preserve"> Biology</w:t>
      </w:r>
      <w:r w:rsidR="00450565" w:rsidRPr="00227F90">
        <w:rPr>
          <w:rFonts w:ascii="Arial" w:hAnsi="Arial" w:cs="Arial"/>
          <w:sz w:val="16"/>
          <w:szCs w:val="16"/>
        </w:rPr>
        <w:t>, June 201</w:t>
      </w:r>
      <w:r w:rsidR="004D4947" w:rsidRPr="00227F90">
        <w:rPr>
          <w:rFonts w:ascii="Arial" w:hAnsi="Arial" w:cs="Arial"/>
          <w:sz w:val="16"/>
          <w:szCs w:val="16"/>
        </w:rPr>
        <w:t>0</w:t>
      </w:r>
      <w:r w:rsidR="004D4947" w:rsidRPr="00227F90">
        <w:rPr>
          <w:rFonts w:ascii="Arial" w:hAnsi="Arial" w:cs="Arial"/>
          <w:sz w:val="16"/>
          <w:szCs w:val="16"/>
          <w:vertAlign w:val="superscript"/>
        </w:rPr>
        <w:t>1</w:t>
      </w:r>
      <w:r w:rsidR="00450565" w:rsidRPr="00227F90">
        <w:rPr>
          <w:rFonts w:ascii="Arial" w:hAnsi="Arial" w:cs="Arial"/>
        </w:rPr>
        <w:br w:type="page"/>
      </w:r>
    </w:p>
    <w:tbl>
      <w:tblPr>
        <w:tblStyle w:val="TableGrid"/>
        <w:tblW w:w="11070" w:type="dxa"/>
        <w:tblInd w:w="-905"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9630"/>
        <w:gridCol w:w="1136"/>
        <w:gridCol w:w="304"/>
      </w:tblGrid>
      <w:tr w:rsidR="002D2B0E" w:rsidRPr="00227F90" w14:paraId="17CE8668" w14:textId="77777777" w:rsidTr="0067771F">
        <w:tc>
          <w:tcPr>
            <w:tcW w:w="9630" w:type="dxa"/>
            <w:tcBorders>
              <w:top w:val="single" w:sz="8" w:space="0" w:color="4A8783"/>
              <w:bottom w:val="single" w:sz="8" w:space="0" w:color="4A8783"/>
              <w:right w:val="single" w:sz="8" w:space="0" w:color="4A8783"/>
            </w:tcBorders>
          </w:tcPr>
          <w:p w14:paraId="3F72F0CD" w14:textId="77777777" w:rsidR="00F963A6" w:rsidRDefault="003E3FB3" w:rsidP="003E3FB3">
            <w:pPr>
              <w:pStyle w:val="NoSpacing"/>
              <w:rPr>
                <w:rFonts w:ascii="Arial" w:hAnsi="Arial" w:cs="Arial"/>
                <w:b/>
                <w:bCs/>
                <w:noProof/>
                <w:sz w:val="18"/>
                <w:szCs w:val="18"/>
                <w:lang w:eastAsia="en-GB"/>
              </w:rPr>
            </w:pPr>
            <w:r w:rsidRPr="003E3FB3">
              <w:rPr>
                <w:rFonts w:ascii="Arial" w:hAnsi="Arial" w:cs="Arial"/>
                <w:b/>
                <w:bCs/>
                <w:noProof/>
                <w:sz w:val="18"/>
                <w:szCs w:val="18"/>
                <w:lang w:eastAsia="en-GB"/>
              </w:rPr>
              <w:lastRenderedPageBreak/>
              <w:t xml:space="preserve">Housing and </w:t>
            </w:r>
          </w:p>
          <w:p w14:paraId="1327D560" w14:textId="30B54626" w:rsidR="003E3FB3" w:rsidRPr="0026500B" w:rsidRDefault="003E3FB3" w:rsidP="00367CC9">
            <w:pPr>
              <w:pStyle w:val="NoSpacing"/>
              <w:rPr>
                <w:rFonts w:asciiTheme="minorBidi" w:hAnsiTheme="minorBidi"/>
                <w:sz w:val="18"/>
                <w:szCs w:val="18"/>
              </w:rPr>
            </w:pPr>
            <w:r w:rsidRPr="003E3FB3">
              <w:rPr>
                <w:rFonts w:ascii="Arial" w:hAnsi="Arial" w:cs="Arial"/>
                <w:b/>
                <w:bCs/>
                <w:noProof/>
                <w:sz w:val="18"/>
                <w:szCs w:val="18"/>
                <w:lang w:eastAsia="en-GB"/>
              </w:rPr>
              <w:t xml:space="preserve">husbandary    </w:t>
            </w:r>
            <w:r w:rsidR="00F963A6">
              <w:rPr>
                <w:rFonts w:ascii="Arial" w:hAnsi="Arial" w:cs="Arial"/>
                <w:b/>
                <w:bCs/>
                <w:noProof/>
                <w:sz w:val="18"/>
                <w:szCs w:val="18"/>
                <w:lang w:eastAsia="en-GB"/>
              </w:rPr>
              <w:t xml:space="preserve">              </w:t>
            </w:r>
            <w:r w:rsidR="008E6F57">
              <w:rPr>
                <w:rFonts w:ascii="Arial" w:hAnsi="Arial" w:cs="Arial"/>
                <w:b/>
                <w:bCs/>
                <w:noProof/>
                <w:sz w:val="18"/>
                <w:szCs w:val="18"/>
                <w:lang w:eastAsia="en-GB"/>
              </w:rPr>
              <w:t xml:space="preserve">              </w:t>
            </w:r>
            <w:r w:rsidR="00F963A6">
              <w:rPr>
                <w:rFonts w:ascii="Arial" w:hAnsi="Arial" w:cs="Arial"/>
                <w:b/>
                <w:bCs/>
                <w:noProof/>
                <w:sz w:val="18"/>
                <w:szCs w:val="18"/>
                <w:lang w:eastAsia="en-GB"/>
              </w:rPr>
              <w:t xml:space="preserve">   </w:t>
            </w:r>
            <w:r w:rsidRPr="003E3FB3">
              <w:rPr>
                <w:rFonts w:ascii="Arial" w:hAnsi="Arial" w:cs="Arial"/>
                <w:b/>
                <w:bCs/>
                <w:noProof/>
                <w:sz w:val="18"/>
                <w:szCs w:val="18"/>
                <w:lang w:eastAsia="en-GB"/>
              </w:rPr>
              <w:t>9</w:t>
            </w:r>
            <w:r>
              <w:rPr>
                <w:rFonts w:ascii="Arial" w:hAnsi="Arial" w:cs="Arial"/>
                <w:noProof/>
                <w:sz w:val="18"/>
                <w:szCs w:val="18"/>
                <w:lang w:eastAsia="en-GB"/>
              </w:rPr>
              <w:t xml:space="preserve">   </w:t>
            </w:r>
            <w:r w:rsidR="00592170" w:rsidRPr="00592170">
              <w:rPr>
                <w:rFonts w:ascii="Arial" w:hAnsi="Arial" w:cs="Arial"/>
                <w:b/>
                <w:bCs/>
                <w:noProof/>
                <w:sz w:val="18"/>
                <w:szCs w:val="18"/>
                <w:lang w:eastAsia="en-GB"/>
              </w:rPr>
              <w:t>a.  b</w:t>
            </w:r>
            <w:r w:rsidR="00592170">
              <w:rPr>
                <w:rFonts w:ascii="Arial" w:hAnsi="Arial" w:cs="Arial"/>
                <w:noProof/>
                <w:sz w:val="18"/>
                <w:szCs w:val="18"/>
                <w:lang w:eastAsia="en-GB"/>
              </w:rPr>
              <w:t>.</w:t>
            </w:r>
            <w:r>
              <w:rPr>
                <w:rFonts w:ascii="Arial" w:hAnsi="Arial" w:cs="Arial"/>
                <w:noProof/>
                <w:sz w:val="18"/>
                <w:szCs w:val="18"/>
                <w:lang w:eastAsia="en-GB"/>
              </w:rPr>
              <w:t xml:space="preserve">     </w:t>
            </w:r>
            <w:r w:rsidRPr="004D41EB">
              <w:rPr>
                <w:rFonts w:asciiTheme="minorBidi" w:hAnsiTheme="minorBidi"/>
                <w:sz w:val="18"/>
                <w:szCs w:val="18"/>
              </w:rPr>
              <w:t>All experimental protocols were followed by guidelines on the ethical standard for investigation of morphine tolerance and hyperalgesia in animals by the Animal Ethics Committee of Shahid Beheshti University of Medical Sciences, Tehran, Iran</w:t>
            </w:r>
            <w:r w:rsidR="006331A4">
              <w:rPr>
                <w:rFonts w:asciiTheme="minorBidi" w:hAnsiTheme="minorBidi"/>
                <w:sz w:val="18"/>
                <w:szCs w:val="18"/>
              </w:rPr>
              <w:t xml:space="preserve">, </w:t>
            </w:r>
            <w:r w:rsidRPr="004D41EB">
              <w:rPr>
                <w:rFonts w:asciiTheme="minorBidi" w:hAnsiTheme="minorBidi"/>
                <w:sz w:val="18"/>
                <w:szCs w:val="18"/>
              </w:rPr>
              <w:t>(IR.SBMU.MSP.REC.1397.272).</w:t>
            </w:r>
            <w:r>
              <w:rPr>
                <w:rFonts w:asciiTheme="minorBidi" w:hAnsiTheme="minorBidi"/>
                <w:color w:val="C0504D" w:themeColor="accent2"/>
                <w:sz w:val="18"/>
                <w:szCs w:val="18"/>
              </w:rPr>
              <w:t xml:space="preserve">  </w:t>
            </w:r>
            <w:r w:rsidRPr="00530F9A">
              <w:rPr>
                <w:rFonts w:asciiTheme="minorBidi" w:hAnsiTheme="minorBidi"/>
                <w:sz w:val="18"/>
                <w:szCs w:val="18"/>
              </w:rPr>
              <w:t xml:space="preserve">Experiments were done on forty-eight adult male Wistar rats (Pasture Institute – Tehran, Iran), weight 180–220g that were housed three rats per cage and placed under a 12 h light/dark cycle in a room with controlled temperature (22 ± 1 °C) for ten days. Animals had ad libitum access to food and water. </w:t>
            </w:r>
            <w:r w:rsidRPr="004D41EB">
              <w:rPr>
                <w:rFonts w:asciiTheme="minorBidi" w:hAnsiTheme="minorBidi"/>
                <w:sz w:val="18"/>
                <w:szCs w:val="18"/>
              </w:rPr>
              <w:t>Animals were allowed to habituate to the housing circumstances for several days before the experiments began. Behavioral studies were performed in a quiet condition</w:t>
            </w:r>
            <w:r w:rsidRPr="00DA2198">
              <w:rPr>
                <w:rFonts w:asciiTheme="minorBidi" w:hAnsiTheme="minorBidi"/>
                <w:color w:val="0070C0"/>
                <w:sz w:val="18"/>
                <w:szCs w:val="18"/>
              </w:rPr>
              <w:t>.</w:t>
            </w:r>
            <w:r w:rsidRPr="00C4099D">
              <w:rPr>
                <w:rFonts w:asciiTheme="minorBidi" w:hAnsiTheme="minorBidi"/>
                <w:sz w:val="18"/>
                <w:szCs w:val="18"/>
              </w:rPr>
              <w:t xml:space="preserve"> Efforts were made to use the minimum number of animals necessary to achieve statistical significance.</w:t>
            </w:r>
          </w:p>
          <w:p w14:paraId="7A318DFA" w14:textId="77777777" w:rsidR="003E3FB3" w:rsidRPr="00C4099D" w:rsidRDefault="003E3FB3" w:rsidP="003E3FB3">
            <w:pPr>
              <w:pStyle w:val="NoSpacing"/>
              <w:rPr>
                <w:rFonts w:asciiTheme="minorBidi" w:hAnsiTheme="minorBidi"/>
                <w:sz w:val="18"/>
                <w:szCs w:val="18"/>
              </w:rPr>
            </w:pPr>
            <w:r>
              <w:rPr>
                <w:rFonts w:asciiTheme="minorBidi" w:hAnsiTheme="minorBidi"/>
                <w:sz w:val="18"/>
                <w:szCs w:val="18"/>
              </w:rPr>
              <w:t>R</w:t>
            </w:r>
            <w:r w:rsidRPr="00C4099D">
              <w:rPr>
                <w:rFonts w:asciiTheme="minorBidi" w:hAnsiTheme="minorBidi"/>
                <w:sz w:val="18"/>
                <w:szCs w:val="18"/>
              </w:rPr>
              <w:t xml:space="preserve">ats were separated into 8 groups with 6 rats in each group and divided to tolerance and OIH groups: </w:t>
            </w:r>
            <w:proofErr w:type="spellStart"/>
            <w:r w:rsidRPr="00C4099D">
              <w:rPr>
                <w:rFonts w:asciiTheme="minorBidi" w:hAnsiTheme="minorBidi"/>
                <w:sz w:val="18"/>
                <w:szCs w:val="18"/>
              </w:rPr>
              <w:t>i</w:t>
            </w:r>
            <w:proofErr w:type="spellEnd"/>
            <w:r w:rsidRPr="00C4099D">
              <w:rPr>
                <w:rFonts w:asciiTheme="minorBidi" w:hAnsiTheme="minorBidi"/>
                <w:sz w:val="18"/>
                <w:szCs w:val="18"/>
              </w:rPr>
              <w:t xml:space="preserve">) sham, ii) morphine (10 mg), iii) treatment group: morphine10 mg and naloxone (NAL, 15 ng), and iv) naloxone (15 ng) and saline (SAL). </w:t>
            </w:r>
          </w:p>
          <w:p w14:paraId="60C7CC02" w14:textId="5A20A24F" w:rsidR="002D2B0E" w:rsidRPr="003E3FB3" w:rsidRDefault="002D2B0E" w:rsidP="002D2B0E">
            <w:pPr>
              <w:autoSpaceDE w:val="0"/>
              <w:autoSpaceDN w:val="0"/>
              <w:adjustRightInd w:val="0"/>
              <w:spacing w:before="60" w:after="60"/>
              <w:rPr>
                <w:rFonts w:ascii="Arial" w:hAnsi="Arial" w:cs="Arial"/>
                <w:sz w:val="18"/>
                <w:szCs w:val="18"/>
                <w:vertAlign w:val="subscript"/>
              </w:rPr>
            </w:pPr>
          </w:p>
        </w:tc>
        <w:tc>
          <w:tcPr>
            <w:tcW w:w="1440" w:type="dxa"/>
            <w:gridSpan w:val="2"/>
            <w:tcBorders>
              <w:top w:val="single" w:sz="8" w:space="0" w:color="4A8783"/>
              <w:left w:val="single" w:sz="8" w:space="0" w:color="4A8783"/>
              <w:bottom w:val="single" w:sz="8" w:space="0" w:color="4A8783"/>
            </w:tcBorders>
          </w:tcPr>
          <w:p w14:paraId="6BEA5512" w14:textId="1B203D82" w:rsidR="002D2B0E" w:rsidRPr="00227F90" w:rsidRDefault="003E3FB3" w:rsidP="00214F3D">
            <w:pPr>
              <w:autoSpaceDE w:val="0"/>
              <w:autoSpaceDN w:val="0"/>
              <w:adjustRightInd w:val="0"/>
              <w:spacing w:before="60" w:after="60"/>
              <w:rPr>
                <w:rFonts w:ascii="Arial" w:hAnsi="Arial" w:cs="Arial"/>
                <w:sz w:val="18"/>
                <w:szCs w:val="18"/>
              </w:rPr>
            </w:pPr>
            <w:r>
              <w:rPr>
                <w:rFonts w:ascii="Arial" w:hAnsi="Arial" w:cs="Arial"/>
                <w:sz w:val="18"/>
                <w:szCs w:val="18"/>
              </w:rPr>
              <w:t>Paragraph</w:t>
            </w:r>
            <w:r w:rsidR="006331A4">
              <w:rPr>
                <w:rFonts w:ascii="Arial" w:hAnsi="Arial" w:cs="Arial"/>
                <w:sz w:val="18"/>
                <w:szCs w:val="18"/>
              </w:rPr>
              <w:t xml:space="preserve"> </w:t>
            </w:r>
            <w:r w:rsidR="00367CC9">
              <w:rPr>
                <w:rFonts w:ascii="Arial" w:hAnsi="Arial" w:cs="Arial"/>
                <w:sz w:val="18"/>
                <w:szCs w:val="18"/>
              </w:rPr>
              <w:t>1</w:t>
            </w:r>
            <w:r w:rsidR="006331A4">
              <w:rPr>
                <w:rFonts w:ascii="Arial" w:hAnsi="Arial" w:cs="Arial"/>
                <w:sz w:val="18"/>
                <w:szCs w:val="18"/>
              </w:rPr>
              <w:t>-</w:t>
            </w:r>
            <w:r>
              <w:rPr>
                <w:rFonts w:ascii="Arial" w:hAnsi="Arial" w:cs="Arial"/>
                <w:sz w:val="18"/>
                <w:szCs w:val="18"/>
              </w:rPr>
              <w:t xml:space="preserve"> </w:t>
            </w:r>
            <w:r w:rsidR="006331A4">
              <w:rPr>
                <w:rFonts w:ascii="Arial" w:hAnsi="Arial" w:cs="Arial"/>
                <w:sz w:val="18"/>
                <w:szCs w:val="18"/>
              </w:rPr>
              <w:t>3</w:t>
            </w:r>
          </w:p>
        </w:tc>
      </w:tr>
      <w:tr w:rsidR="002D2B0E" w:rsidRPr="00227F90" w14:paraId="0173341D" w14:textId="77777777" w:rsidTr="0067771F">
        <w:tc>
          <w:tcPr>
            <w:tcW w:w="9630" w:type="dxa"/>
            <w:tcBorders>
              <w:top w:val="single" w:sz="8" w:space="0" w:color="4A8783"/>
              <w:bottom w:val="single" w:sz="8" w:space="0" w:color="4A8783"/>
              <w:right w:val="single" w:sz="8" w:space="0" w:color="4A8783"/>
            </w:tcBorders>
          </w:tcPr>
          <w:p w14:paraId="71DA8C2D" w14:textId="77777777" w:rsidR="00F963A6" w:rsidRDefault="003E3FB3" w:rsidP="003E3FB3">
            <w:pPr>
              <w:pStyle w:val="NoSpacing"/>
              <w:rPr>
                <w:rFonts w:ascii="Arial" w:hAnsi="Arial" w:cs="Arial"/>
                <w:b/>
                <w:bCs/>
                <w:noProof/>
                <w:sz w:val="18"/>
                <w:szCs w:val="18"/>
                <w:lang w:eastAsia="en-GB"/>
              </w:rPr>
            </w:pPr>
            <w:r w:rsidRPr="003E3FB3">
              <w:rPr>
                <w:rFonts w:ascii="Arial" w:hAnsi="Arial" w:cs="Arial"/>
                <w:b/>
                <w:bCs/>
                <w:noProof/>
                <w:sz w:val="18"/>
                <w:szCs w:val="18"/>
                <w:lang w:eastAsia="en-GB"/>
              </w:rPr>
              <w:t>Sample</w:t>
            </w:r>
          </w:p>
          <w:p w14:paraId="32C55A62" w14:textId="40C01082" w:rsidR="003E3FB3" w:rsidRPr="00C4099D" w:rsidRDefault="003E3FB3" w:rsidP="003E3FB3">
            <w:pPr>
              <w:pStyle w:val="NoSpacing"/>
              <w:rPr>
                <w:rFonts w:asciiTheme="minorBidi" w:hAnsiTheme="minorBidi"/>
                <w:sz w:val="18"/>
                <w:szCs w:val="18"/>
              </w:rPr>
            </w:pPr>
            <w:r w:rsidRPr="003E3FB3">
              <w:rPr>
                <w:rFonts w:ascii="Arial" w:hAnsi="Arial" w:cs="Arial"/>
                <w:b/>
                <w:bCs/>
                <w:noProof/>
                <w:sz w:val="18"/>
                <w:szCs w:val="18"/>
                <w:lang w:eastAsia="en-GB"/>
              </w:rPr>
              <w:t xml:space="preserve"> </w:t>
            </w:r>
            <w:r w:rsidR="00F963A6">
              <w:rPr>
                <w:rFonts w:ascii="Arial" w:hAnsi="Arial" w:cs="Arial"/>
                <w:b/>
                <w:bCs/>
                <w:noProof/>
                <w:sz w:val="18"/>
                <w:szCs w:val="18"/>
                <w:lang w:eastAsia="en-GB"/>
              </w:rPr>
              <w:t>s</w:t>
            </w:r>
            <w:r w:rsidRPr="003E3FB3">
              <w:rPr>
                <w:rFonts w:ascii="Arial" w:hAnsi="Arial" w:cs="Arial"/>
                <w:b/>
                <w:bCs/>
                <w:noProof/>
                <w:sz w:val="18"/>
                <w:szCs w:val="18"/>
                <w:lang w:eastAsia="en-GB"/>
              </w:rPr>
              <w:t xml:space="preserve">ize       </w:t>
            </w:r>
            <w:r w:rsidR="00F963A6">
              <w:rPr>
                <w:rFonts w:ascii="Arial" w:hAnsi="Arial" w:cs="Arial"/>
                <w:b/>
                <w:bCs/>
                <w:noProof/>
                <w:sz w:val="18"/>
                <w:szCs w:val="18"/>
                <w:lang w:eastAsia="en-GB"/>
              </w:rPr>
              <w:t xml:space="preserve">                         </w:t>
            </w:r>
            <w:r w:rsidR="008E6F57">
              <w:rPr>
                <w:rFonts w:ascii="Arial" w:hAnsi="Arial" w:cs="Arial"/>
                <w:b/>
                <w:bCs/>
                <w:noProof/>
                <w:sz w:val="18"/>
                <w:szCs w:val="18"/>
                <w:lang w:eastAsia="en-GB"/>
              </w:rPr>
              <w:t xml:space="preserve">           </w:t>
            </w:r>
            <w:r w:rsidR="00F963A6">
              <w:rPr>
                <w:rFonts w:ascii="Arial" w:hAnsi="Arial" w:cs="Arial"/>
                <w:b/>
                <w:bCs/>
                <w:noProof/>
                <w:sz w:val="18"/>
                <w:szCs w:val="18"/>
                <w:lang w:eastAsia="en-GB"/>
              </w:rPr>
              <w:t xml:space="preserve"> </w:t>
            </w:r>
            <w:r w:rsidRPr="003E3FB3">
              <w:rPr>
                <w:rFonts w:ascii="Arial" w:hAnsi="Arial" w:cs="Arial"/>
                <w:b/>
                <w:bCs/>
                <w:noProof/>
                <w:sz w:val="18"/>
                <w:szCs w:val="18"/>
                <w:lang w:eastAsia="en-GB"/>
              </w:rPr>
              <w:t xml:space="preserve">  10</w:t>
            </w:r>
            <w:r>
              <w:rPr>
                <w:rFonts w:ascii="Arial" w:hAnsi="Arial" w:cs="Arial"/>
                <w:noProof/>
                <w:sz w:val="18"/>
                <w:szCs w:val="18"/>
                <w:lang w:eastAsia="en-GB"/>
              </w:rPr>
              <w:t xml:space="preserve">     </w:t>
            </w:r>
            <w:r w:rsidR="00592170" w:rsidRPr="00592170">
              <w:rPr>
                <w:rFonts w:ascii="Arial" w:hAnsi="Arial" w:cs="Arial"/>
                <w:b/>
                <w:bCs/>
                <w:noProof/>
                <w:sz w:val="18"/>
                <w:szCs w:val="18"/>
                <w:lang w:eastAsia="en-GB"/>
              </w:rPr>
              <w:t xml:space="preserve">a. b. </w:t>
            </w:r>
            <w:r>
              <w:rPr>
                <w:rFonts w:ascii="Arial" w:hAnsi="Arial" w:cs="Arial"/>
                <w:noProof/>
                <w:sz w:val="18"/>
                <w:szCs w:val="18"/>
                <w:lang w:eastAsia="en-GB"/>
              </w:rPr>
              <w:t xml:space="preserve">     </w:t>
            </w:r>
            <w:r w:rsidR="00592170" w:rsidRPr="00027315">
              <w:rPr>
                <w:rFonts w:asciiTheme="minorBidi" w:hAnsiTheme="minorBidi"/>
                <w:sz w:val="18"/>
                <w:szCs w:val="18"/>
              </w:rPr>
              <w:t>Experiments were done on forty-eight adult male Wistar rats (Pasture</w:t>
            </w:r>
            <w:r w:rsidR="00592170">
              <w:rPr>
                <w:rFonts w:asciiTheme="minorBidi" w:hAnsiTheme="minorBidi"/>
                <w:sz w:val="18"/>
                <w:szCs w:val="18"/>
              </w:rPr>
              <w:t xml:space="preserve"> Institute</w:t>
            </w:r>
            <w:r w:rsidR="00592170" w:rsidRPr="00027315">
              <w:rPr>
                <w:rFonts w:asciiTheme="minorBidi" w:hAnsiTheme="minorBidi"/>
                <w:sz w:val="18"/>
                <w:szCs w:val="18"/>
              </w:rPr>
              <w:t xml:space="preserve"> – Tehran, Iran), weight 180–220g that were housed three rats per cage and placed under a 12 h light/dark cycle in a room with controlled temperature (22 ± 1 °C) for ten days. </w:t>
            </w:r>
            <w:r>
              <w:rPr>
                <w:rFonts w:asciiTheme="minorBidi" w:hAnsiTheme="minorBidi"/>
                <w:sz w:val="18"/>
                <w:szCs w:val="18"/>
              </w:rPr>
              <w:t>R</w:t>
            </w:r>
            <w:r w:rsidRPr="00C4099D">
              <w:rPr>
                <w:rFonts w:asciiTheme="minorBidi" w:hAnsiTheme="minorBidi"/>
                <w:sz w:val="18"/>
                <w:szCs w:val="18"/>
              </w:rPr>
              <w:t xml:space="preserve">ats were </w:t>
            </w:r>
            <w:r w:rsidR="006331A4">
              <w:rPr>
                <w:rFonts w:asciiTheme="minorBidi" w:hAnsiTheme="minorBidi"/>
                <w:sz w:val="18"/>
                <w:szCs w:val="18"/>
              </w:rPr>
              <w:t xml:space="preserve">randomly </w:t>
            </w:r>
            <w:r w:rsidRPr="00C4099D">
              <w:rPr>
                <w:rFonts w:asciiTheme="minorBidi" w:hAnsiTheme="minorBidi"/>
                <w:sz w:val="18"/>
                <w:szCs w:val="18"/>
              </w:rPr>
              <w:t xml:space="preserve">separated into 8 groups with 6 rats in each group and divided to tolerance and OIH groups: </w:t>
            </w:r>
            <w:proofErr w:type="spellStart"/>
            <w:r w:rsidRPr="00C4099D">
              <w:rPr>
                <w:rFonts w:asciiTheme="minorBidi" w:hAnsiTheme="minorBidi"/>
                <w:sz w:val="18"/>
                <w:szCs w:val="18"/>
              </w:rPr>
              <w:t>i</w:t>
            </w:r>
            <w:proofErr w:type="spellEnd"/>
            <w:r w:rsidRPr="00C4099D">
              <w:rPr>
                <w:rFonts w:asciiTheme="minorBidi" w:hAnsiTheme="minorBidi"/>
                <w:sz w:val="18"/>
                <w:szCs w:val="18"/>
              </w:rPr>
              <w:t xml:space="preserve">) sham, ii) morphine (10 mg), iii) treatment group: morphine10 mg and naloxone (NAL, 15 ng), and iv) naloxone (15 ng) and saline (SAL). </w:t>
            </w:r>
          </w:p>
          <w:p w14:paraId="58292303" w14:textId="77777777" w:rsidR="003E3FB3" w:rsidRDefault="003E3FB3" w:rsidP="003E3FB3">
            <w:pPr>
              <w:pStyle w:val="NoSpacing"/>
              <w:rPr>
                <w:rFonts w:asciiTheme="minorBidi" w:hAnsiTheme="minorBidi"/>
                <w:sz w:val="18"/>
                <w:szCs w:val="18"/>
              </w:rPr>
            </w:pPr>
          </w:p>
          <w:p w14:paraId="690708CA" w14:textId="3D3119E2" w:rsidR="002D2B0E" w:rsidRPr="003E3FB3" w:rsidRDefault="002D2B0E" w:rsidP="002D2B0E">
            <w:pPr>
              <w:autoSpaceDE w:val="0"/>
              <w:autoSpaceDN w:val="0"/>
              <w:adjustRightInd w:val="0"/>
              <w:spacing w:before="60" w:after="60"/>
              <w:rPr>
                <w:rFonts w:ascii="Arial" w:hAnsi="Arial" w:cs="Arial"/>
                <w:sz w:val="18"/>
                <w:szCs w:val="18"/>
              </w:rPr>
            </w:pPr>
          </w:p>
        </w:tc>
        <w:tc>
          <w:tcPr>
            <w:tcW w:w="1440" w:type="dxa"/>
            <w:gridSpan w:val="2"/>
            <w:tcBorders>
              <w:top w:val="single" w:sz="8" w:space="0" w:color="4A8783"/>
              <w:left w:val="single" w:sz="8" w:space="0" w:color="4A8783"/>
              <w:bottom w:val="single" w:sz="8" w:space="0" w:color="4A8783"/>
            </w:tcBorders>
          </w:tcPr>
          <w:p w14:paraId="4DE91263" w14:textId="38DDF906" w:rsidR="002D2B0E" w:rsidRPr="00227F90" w:rsidRDefault="003E3FB3" w:rsidP="00214F3D">
            <w:pPr>
              <w:autoSpaceDE w:val="0"/>
              <w:autoSpaceDN w:val="0"/>
              <w:adjustRightInd w:val="0"/>
              <w:spacing w:before="60" w:after="60"/>
              <w:rPr>
                <w:rFonts w:ascii="Arial" w:hAnsi="Arial" w:cs="Arial"/>
                <w:sz w:val="18"/>
                <w:szCs w:val="18"/>
              </w:rPr>
            </w:pPr>
            <w:r>
              <w:rPr>
                <w:rFonts w:ascii="Arial" w:hAnsi="Arial" w:cs="Arial"/>
                <w:sz w:val="18"/>
                <w:szCs w:val="18"/>
              </w:rPr>
              <w:t>Paragraph 2</w:t>
            </w:r>
            <w:r w:rsidR="00305CEF">
              <w:rPr>
                <w:rFonts w:ascii="Arial" w:hAnsi="Arial" w:cs="Arial"/>
                <w:sz w:val="18"/>
                <w:szCs w:val="18"/>
              </w:rPr>
              <w:t xml:space="preserve"> &amp;4</w:t>
            </w:r>
          </w:p>
        </w:tc>
      </w:tr>
      <w:tr w:rsidR="002D2B0E" w:rsidRPr="00227F90" w14:paraId="34B888AE" w14:textId="77777777" w:rsidTr="0067771F">
        <w:tc>
          <w:tcPr>
            <w:tcW w:w="9630" w:type="dxa"/>
            <w:tcBorders>
              <w:top w:val="single" w:sz="8" w:space="0" w:color="4A8783"/>
              <w:bottom w:val="single" w:sz="8" w:space="0" w:color="4A8783"/>
              <w:right w:val="single" w:sz="8" w:space="0" w:color="4A8783"/>
            </w:tcBorders>
          </w:tcPr>
          <w:p w14:paraId="0FCE909D" w14:textId="77777777" w:rsidR="00F963A6" w:rsidRDefault="001B64E1" w:rsidP="001B64E1">
            <w:pPr>
              <w:pStyle w:val="NoSpacing"/>
              <w:rPr>
                <w:rFonts w:ascii="Arial" w:hAnsi="Arial" w:cs="Arial"/>
                <w:b/>
                <w:bCs/>
                <w:noProof/>
                <w:sz w:val="18"/>
                <w:szCs w:val="18"/>
                <w:lang w:eastAsia="en-GB"/>
              </w:rPr>
            </w:pPr>
            <w:r w:rsidRPr="001B64E1">
              <w:rPr>
                <w:rFonts w:ascii="Arial" w:hAnsi="Arial" w:cs="Arial"/>
                <w:b/>
                <w:bCs/>
                <w:noProof/>
                <w:sz w:val="18"/>
                <w:szCs w:val="18"/>
                <w:lang w:eastAsia="en-GB"/>
              </w:rPr>
              <w:t>Allocating</w:t>
            </w:r>
          </w:p>
          <w:p w14:paraId="32D1A4D7" w14:textId="1A2780E8" w:rsidR="00F963A6" w:rsidRDefault="001B64E1" w:rsidP="001B64E1">
            <w:pPr>
              <w:pStyle w:val="NoSpacing"/>
              <w:rPr>
                <w:rFonts w:ascii="Arial" w:hAnsi="Arial" w:cs="Arial"/>
                <w:b/>
                <w:bCs/>
                <w:noProof/>
                <w:sz w:val="18"/>
                <w:szCs w:val="18"/>
                <w:lang w:eastAsia="en-GB"/>
              </w:rPr>
            </w:pPr>
            <w:r w:rsidRPr="001B64E1">
              <w:rPr>
                <w:rFonts w:ascii="Arial" w:hAnsi="Arial" w:cs="Arial"/>
                <w:b/>
                <w:bCs/>
                <w:noProof/>
                <w:sz w:val="18"/>
                <w:szCs w:val="18"/>
                <w:lang w:eastAsia="en-GB"/>
              </w:rPr>
              <w:t xml:space="preserve"> </w:t>
            </w:r>
            <w:r w:rsidR="00F963A6" w:rsidRPr="001B64E1">
              <w:rPr>
                <w:rFonts w:ascii="Arial" w:hAnsi="Arial" w:cs="Arial"/>
                <w:b/>
                <w:bCs/>
                <w:noProof/>
                <w:sz w:val="18"/>
                <w:szCs w:val="18"/>
                <w:lang w:eastAsia="en-GB"/>
              </w:rPr>
              <w:t>A</w:t>
            </w:r>
            <w:r w:rsidRPr="001B64E1">
              <w:rPr>
                <w:rFonts w:ascii="Arial" w:hAnsi="Arial" w:cs="Arial"/>
                <w:b/>
                <w:bCs/>
                <w:noProof/>
                <w:sz w:val="18"/>
                <w:szCs w:val="18"/>
                <w:lang w:eastAsia="en-GB"/>
              </w:rPr>
              <w:t>nimals</w:t>
            </w:r>
          </w:p>
          <w:p w14:paraId="3BD48549" w14:textId="77777777" w:rsidR="00F963A6" w:rsidRDefault="001B64E1" w:rsidP="001B64E1">
            <w:pPr>
              <w:pStyle w:val="NoSpacing"/>
              <w:rPr>
                <w:rFonts w:ascii="Arial" w:hAnsi="Arial" w:cs="Arial"/>
                <w:b/>
                <w:bCs/>
                <w:noProof/>
                <w:sz w:val="18"/>
                <w:szCs w:val="18"/>
                <w:lang w:eastAsia="en-GB"/>
              </w:rPr>
            </w:pPr>
            <w:r w:rsidRPr="001B64E1">
              <w:rPr>
                <w:rFonts w:ascii="Arial" w:hAnsi="Arial" w:cs="Arial"/>
                <w:b/>
                <w:bCs/>
                <w:noProof/>
                <w:sz w:val="18"/>
                <w:szCs w:val="18"/>
                <w:lang w:eastAsia="en-GB"/>
              </w:rPr>
              <w:t xml:space="preserve"> to experimental</w:t>
            </w:r>
          </w:p>
          <w:p w14:paraId="62D65938" w14:textId="55C24F22" w:rsidR="00305CEF" w:rsidRPr="00C4099D" w:rsidRDefault="001B64E1" w:rsidP="00305CEF">
            <w:pPr>
              <w:pStyle w:val="NoSpacing"/>
              <w:rPr>
                <w:rFonts w:asciiTheme="minorBidi" w:hAnsiTheme="minorBidi"/>
                <w:sz w:val="18"/>
                <w:szCs w:val="18"/>
              </w:rPr>
            </w:pPr>
            <w:r w:rsidRPr="001B64E1">
              <w:rPr>
                <w:rFonts w:ascii="Arial" w:hAnsi="Arial" w:cs="Arial"/>
                <w:b/>
                <w:bCs/>
                <w:noProof/>
                <w:sz w:val="18"/>
                <w:szCs w:val="18"/>
                <w:lang w:eastAsia="en-GB"/>
              </w:rPr>
              <w:t xml:space="preserve"> groups</w:t>
            </w:r>
            <w:r>
              <w:rPr>
                <w:rFonts w:ascii="Arial" w:hAnsi="Arial" w:cs="Arial"/>
                <w:b/>
                <w:bCs/>
                <w:noProof/>
                <w:sz w:val="18"/>
                <w:szCs w:val="18"/>
                <w:lang w:eastAsia="en-GB"/>
              </w:rPr>
              <w:t xml:space="preserve"> </w:t>
            </w:r>
            <w:r w:rsidR="00F963A6">
              <w:rPr>
                <w:rFonts w:ascii="Arial" w:hAnsi="Arial" w:cs="Arial"/>
                <w:b/>
                <w:bCs/>
                <w:noProof/>
                <w:sz w:val="18"/>
                <w:szCs w:val="18"/>
                <w:lang w:eastAsia="en-GB"/>
              </w:rPr>
              <w:t xml:space="preserve">                           </w:t>
            </w:r>
            <w:r w:rsidR="008E6F57">
              <w:rPr>
                <w:rFonts w:ascii="Arial" w:hAnsi="Arial" w:cs="Arial"/>
                <w:b/>
                <w:bCs/>
                <w:noProof/>
                <w:sz w:val="18"/>
                <w:szCs w:val="18"/>
                <w:lang w:eastAsia="en-GB"/>
              </w:rPr>
              <w:t xml:space="preserve">           </w:t>
            </w:r>
            <w:r w:rsidR="00F963A6">
              <w:rPr>
                <w:rFonts w:ascii="Arial" w:hAnsi="Arial" w:cs="Arial"/>
                <w:b/>
                <w:bCs/>
                <w:noProof/>
                <w:sz w:val="18"/>
                <w:szCs w:val="18"/>
                <w:lang w:eastAsia="en-GB"/>
              </w:rPr>
              <w:t xml:space="preserve"> </w:t>
            </w:r>
            <w:r>
              <w:rPr>
                <w:rFonts w:ascii="Arial" w:hAnsi="Arial" w:cs="Arial"/>
                <w:b/>
                <w:bCs/>
                <w:noProof/>
                <w:sz w:val="18"/>
                <w:szCs w:val="18"/>
                <w:lang w:eastAsia="en-GB"/>
              </w:rPr>
              <w:t xml:space="preserve"> 11</w:t>
            </w:r>
            <w:r w:rsidR="00305CEF">
              <w:rPr>
                <w:rFonts w:ascii="Arial" w:hAnsi="Arial" w:cs="Arial"/>
                <w:b/>
                <w:bCs/>
                <w:noProof/>
                <w:sz w:val="18"/>
                <w:szCs w:val="18"/>
                <w:lang w:eastAsia="en-GB"/>
              </w:rPr>
              <w:t xml:space="preserve">     </w:t>
            </w:r>
            <w:r>
              <w:rPr>
                <w:rFonts w:ascii="Arial" w:hAnsi="Arial" w:cs="Arial"/>
                <w:b/>
                <w:bCs/>
                <w:noProof/>
                <w:sz w:val="18"/>
                <w:szCs w:val="18"/>
                <w:lang w:eastAsia="en-GB"/>
              </w:rPr>
              <w:t xml:space="preserve"> </w:t>
            </w:r>
            <w:r w:rsidR="00305CEF">
              <w:rPr>
                <w:rFonts w:ascii="Arial" w:hAnsi="Arial" w:cs="Arial"/>
                <w:b/>
                <w:bCs/>
                <w:noProof/>
                <w:sz w:val="18"/>
                <w:szCs w:val="18"/>
                <w:lang w:eastAsia="en-GB"/>
              </w:rPr>
              <w:t xml:space="preserve">a.  b. </w:t>
            </w:r>
            <w:r>
              <w:rPr>
                <w:rFonts w:ascii="Arial" w:hAnsi="Arial" w:cs="Arial"/>
                <w:b/>
                <w:bCs/>
                <w:noProof/>
                <w:sz w:val="18"/>
                <w:szCs w:val="18"/>
                <w:lang w:eastAsia="en-GB"/>
              </w:rPr>
              <w:t xml:space="preserve">   </w:t>
            </w:r>
            <w:r w:rsidR="00305CEF" w:rsidRPr="00027315">
              <w:rPr>
                <w:rFonts w:asciiTheme="minorBidi" w:hAnsiTheme="minorBidi"/>
                <w:sz w:val="18"/>
                <w:szCs w:val="18"/>
              </w:rPr>
              <w:t>Experiments were done on forty-eight adult male Wistar rats (Pasture</w:t>
            </w:r>
            <w:r w:rsidR="00305CEF">
              <w:rPr>
                <w:rFonts w:asciiTheme="minorBidi" w:hAnsiTheme="minorBidi"/>
                <w:sz w:val="18"/>
                <w:szCs w:val="18"/>
              </w:rPr>
              <w:t xml:space="preserve"> Institute</w:t>
            </w:r>
            <w:r w:rsidR="00305CEF" w:rsidRPr="00027315">
              <w:rPr>
                <w:rFonts w:asciiTheme="minorBidi" w:hAnsiTheme="minorBidi"/>
                <w:sz w:val="18"/>
                <w:szCs w:val="18"/>
              </w:rPr>
              <w:t xml:space="preserve"> – Tehran, Iran), weight 180–220g that were housed three rats per cage and placed under a 12 h light/dark cycle in a room with controlled temperature (22 ± 1 °C) for ten days. </w:t>
            </w:r>
            <w:r w:rsidR="00305CEF">
              <w:rPr>
                <w:rFonts w:asciiTheme="minorBidi" w:hAnsiTheme="minorBidi"/>
                <w:sz w:val="18"/>
                <w:szCs w:val="18"/>
              </w:rPr>
              <w:t>R</w:t>
            </w:r>
            <w:r w:rsidR="00305CEF" w:rsidRPr="00C4099D">
              <w:rPr>
                <w:rFonts w:asciiTheme="minorBidi" w:hAnsiTheme="minorBidi"/>
                <w:sz w:val="18"/>
                <w:szCs w:val="18"/>
              </w:rPr>
              <w:t xml:space="preserve">ats were </w:t>
            </w:r>
            <w:r w:rsidR="00305CEF">
              <w:rPr>
                <w:rFonts w:asciiTheme="minorBidi" w:hAnsiTheme="minorBidi"/>
                <w:sz w:val="18"/>
                <w:szCs w:val="18"/>
              </w:rPr>
              <w:t xml:space="preserve">randomly </w:t>
            </w:r>
            <w:r w:rsidR="00305CEF" w:rsidRPr="00C4099D">
              <w:rPr>
                <w:rFonts w:asciiTheme="minorBidi" w:hAnsiTheme="minorBidi"/>
                <w:sz w:val="18"/>
                <w:szCs w:val="18"/>
              </w:rPr>
              <w:t xml:space="preserve">separated into 8 groups with 6 rats in each group and divided to tolerance and OIH groups: </w:t>
            </w:r>
            <w:proofErr w:type="spellStart"/>
            <w:r w:rsidR="00305CEF" w:rsidRPr="00C4099D">
              <w:rPr>
                <w:rFonts w:asciiTheme="minorBidi" w:hAnsiTheme="minorBidi"/>
                <w:sz w:val="18"/>
                <w:szCs w:val="18"/>
              </w:rPr>
              <w:t>i</w:t>
            </w:r>
            <w:proofErr w:type="spellEnd"/>
            <w:r w:rsidR="00305CEF" w:rsidRPr="00C4099D">
              <w:rPr>
                <w:rFonts w:asciiTheme="minorBidi" w:hAnsiTheme="minorBidi"/>
                <w:sz w:val="18"/>
                <w:szCs w:val="18"/>
              </w:rPr>
              <w:t xml:space="preserve">) sham, ii) morphine (10 mg), iii) treatment group: morphine10 mg and naloxone (NAL, 15 ng), and iv) naloxone (15 ng) and saline (SAL). </w:t>
            </w:r>
          </w:p>
          <w:p w14:paraId="4955FDFD" w14:textId="542997C1" w:rsidR="001B64E1" w:rsidRPr="00530F9A" w:rsidRDefault="001B64E1" w:rsidP="001B64E1">
            <w:pPr>
              <w:pStyle w:val="NoSpacing"/>
              <w:rPr>
                <w:rFonts w:asciiTheme="minorBidi" w:hAnsiTheme="minorBidi"/>
                <w:sz w:val="18"/>
                <w:szCs w:val="18"/>
              </w:rPr>
            </w:pPr>
          </w:p>
          <w:p w14:paraId="3BA2EF56" w14:textId="02FDAC3B" w:rsidR="002D2B0E" w:rsidRPr="001B64E1" w:rsidRDefault="002D2B0E" w:rsidP="000E5BBC">
            <w:pPr>
              <w:autoSpaceDE w:val="0"/>
              <w:autoSpaceDN w:val="0"/>
              <w:adjustRightInd w:val="0"/>
              <w:spacing w:before="60" w:after="60"/>
              <w:rPr>
                <w:rFonts w:ascii="Arial" w:hAnsi="Arial" w:cs="Arial"/>
                <w:b/>
                <w:bCs/>
                <w:sz w:val="18"/>
                <w:szCs w:val="18"/>
              </w:rPr>
            </w:pPr>
          </w:p>
        </w:tc>
        <w:tc>
          <w:tcPr>
            <w:tcW w:w="1440" w:type="dxa"/>
            <w:gridSpan w:val="2"/>
            <w:tcBorders>
              <w:top w:val="single" w:sz="8" w:space="0" w:color="4A8783"/>
              <w:left w:val="single" w:sz="8" w:space="0" w:color="4A8783"/>
              <w:bottom w:val="single" w:sz="8" w:space="0" w:color="4A8783"/>
            </w:tcBorders>
          </w:tcPr>
          <w:p w14:paraId="74C495ED" w14:textId="275595B8" w:rsidR="002D2B0E" w:rsidRPr="00227F90" w:rsidRDefault="001B64E1" w:rsidP="00214F3D">
            <w:pPr>
              <w:autoSpaceDE w:val="0"/>
              <w:autoSpaceDN w:val="0"/>
              <w:adjustRightInd w:val="0"/>
              <w:spacing w:before="60" w:after="60"/>
              <w:rPr>
                <w:rFonts w:ascii="Arial" w:hAnsi="Arial" w:cs="Arial"/>
                <w:sz w:val="18"/>
                <w:szCs w:val="18"/>
              </w:rPr>
            </w:pPr>
            <w:r>
              <w:rPr>
                <w:rFonts w:ascii="Arial" w:hAnsi="Arial" w:cs="Arial"/>
                <w:sz w:val="18"/>
                <w:szCs w:val="18"/>
              </w:rPr>
              <w:t xml:space="preserve">Paragraph </w:t>
            </w:r>
            <w:r w:rsidR="00305CEF">
              <w:rPr>
                <w:rFonts w:ascii="Arial" w:hAnsi="Arial" w:cs="Arial"/>
                <w:sz w:val="18"/>
                <w:szCs w:val="18"/>
              </w:rPr>
              <w:t>2 &amp;4</w:t>
            </w:r>
          </w:p>
        </w:tc>
      </w:tr>
      <w:tr w:rsidR="00282B0C" w:rsidRPr="00227F90" w14:paraId="7BCA5A89" w14:textId="77777777" w:rsidTr="0067771F">
        <w:tc>
          <w:tcPr>
            <w:tcW w:w="9630" w:type="dxa"/>
            <w:tcBorders>
              <w:top w:val="single" w:sz="8" w:space="0" w:color="4A8783"/>
              <w:bottom w:val="single" w:sz="8" w:space="0" w:color="4A8783"/>
              <w:right w:val="single" w:sz="8" w:space="0" w:color="4A8783"/>
            </w:tcBorders>
          </w:tcPr>
          <w:p w14:paraId="151141EF" w14:textId="77777777" w:rsidR="00F963A6" w:rsidRPr="00062512" w:rsidRDefault="00282B0C" w:rsidP="00282B0C">
            <w:pPr>
              <w:autoSpaceDE w:val="0"/>
              <w:autoSpaceDN w:val="0"/>
              <w:adjustRightInd w:val="0"/>
              <w:jc w:val="both"/>
              <w:rPr>
                <w:rFonts w:ascii="Arial" w:hAnsi="Arial" w:cs="Arial"/>
                <w:b/>
                <w:bCs/>
                <w:noProof/>
                <w:sz w:val="18"/>
                <w:szCs w:val="18"/>
                <w:lang w:eastAsia="en-GB"/>
              </w:rPr>
            </w:pPr>
            <w:r w:rsidRPr="00062512">
              <w:rPr>
                <w:rFonts w:ascii="Arial" w:hAnsi="Arial" w:cs="Arial"/>
                <w:b/>
                <w:bCs/>
                <w:noProof/>
                <w:sz w:val="18"/>
                <w:szCs w:val="18"/>
                <w:lang w:eastAsia="en-GB"/>
              </w:rPr>
              <w:t xml:space="preserve">Experimental </w:t>
            </w:r>
          </w:p>
          <w:p w14:paraId="30E96AD0" w14:textId="5E21F804" w:rsidR="00282B0C" w:rsidRPr="00062512" w:rsidRDefault="00F963A6" w:rsidP="00282B0C">
            <w:pPr>
              <w:autoSpaceDE w:val="0"/>
              <w:autoSpaceDN w:val="0"/>
              <w:adjustRightInd w:val="0"/>
              <w:jc w:val="both"/>
              <w:rPr>
                <w:rFonts w:asciiTheme="minorBidi" w:eastAsia="Times New Roman" w:hAnsiTheme="minorBidi"/>
                <w:color w:val="1C1E29"/>
                <w:sz w:val="18"/>
                <w:szCs w:val="18"/>
              </w:rPr>
            </w:pPr>
            <w:r w:rsidRPr="00062512">
              <w:rPr>
                <w:rFonts w:ascii="Arial" w:hAnsi="Arial" w:cs="Arial"/>
                <w:b/>
                <w:bCs/>
                <w:noProof/>
                <w:sz w:val="18"/>
                <w:szCs w:val="18"/>
                <w:lang w:eastAsia="en-GB"/>
              </w:rPr>
              <w:t>o</w:t>
            </w:r>
            <w:r w:rsidR="00282B0C" w:rsidRPr="00062512">
              <w:rPr>
                <w:rFonts w:ascii="Arial" w:hAnsi="Arial" w:cs="Arial"/>
                <w:b/>
                <w:bCs/>
                <w:noProof/>
                <w:sz w:val="18"/>
                <w:szCs w:val="18"/>
                <w:lang w:eastAsia="en-GB"/>
              </w:rPr>
              <w:t xml:space="preserve">utcome       </w:t>
            </w:r>
            <w:r w:rsidRPr="00062512">
              <w:rPr>
                <w:rFonts w:ascii="Arial" w:hAnsi="Arial" w:cs="Arial"/>
                <w:b/>
                <w:bCs/>
                <w:noProof/>
                <w:sz w:val="18"/>
                <w:szCs w:val="18"/>
                <w:lang w:eastAsia="en-GB"/>
              </w:rPr>
              <w:t xml:space="preserve">                   </w:t>
            </w:r>
            <w:r w:rsidR="00282B0C" w:rsidRPr="00062512">
              <w:rPr>
                <w:rFonts w:ascii="Arial" w:hAnsi="Arial" w:cs="Arial"/>
                <w:b/>
                <w:bCs/>
                <w:noProof/>
                <w:sz w:val="18"/>
                <w:szCs w:val="18"/>
                <w:lang w:eastAsia="en-GB"/>
              </w:rPr>
              <w:t xml:space="preserve"> </w:t>
            </w:r>
            <w:r w:rsidR="008E6F57" w:rsidRPr="00062512">
              <w:rPr>
                <w:rFonts w:ascii="Arial" w:hAnsi="Arial" w:cs="Arial"/>
                <w:b/>
                <w:bCs/>
                <w:noProof/>
                <w:sz w:val="18"/>
                <w:szCs w:val="18"/>
                <w:lang w:eastAsia="en-GB"/>
              </w:rPr>
              <w:t xml:space="preserve">     </w:t>
            </w:r>
            <w:r w:rsidR="00282B0C" w:rsidRPr="00062512">
              <w:rPr>
                <w:rFonts w:ascii="Arial" w:hAnsi="Arial" w:cs="Arial"/>
                <w:b/>
                <w:bCs/>
                <w:noProof/>
                <w:sz w:val="18"/>
                <w:szCs w:val="18"/>
                <w:lang w:eastAsia="en-GB"/>
              </w:rPr>
              <w:t xml:space="preserve"> 12    </w:t>
            </w:r>
            <w:r w:rsidR="00282B0C" w:rsidRPr="00305CEF">
              <w:rPr>
                <w:rFonts w:asciiTheme="minorBidi" w:eastAsia="Times New Roman" w:hAnsiTheme="minorBidi"/>
                <w:sz w:val="18"/>
                <w:szCs w:val="18"/>
              </w:rPr>
              <w:t>Our data suggests that BDNF and KCC2 maybe candidate molecules that are involved in tolerance and OIH. By increasing KCC2, the ultra-low dose of naloxone along with morphine might be a valuable therapeutic potential for controlling hypersensitivity following chronic morphine administration</w:t>
            </w:r>
            <w:r w:rsidR="00282B0C" w:rsidRPr="00062512">
              <w:rPr>
                <w:rFonts w:asciiTheme="minorBidi" w:eastAsia="Times New Roman" w:hAnsiTheme="minorBidi"/>
                <w:color w:val="1C1E29"/>
                <w:sz w:val="18"/>
                <w:szCs w:val="18"/>
              </w:rPr>
              <w:t>.</w:t>
            </w:r>
          </w:p>
          <w:p w14:paraId="26603E20" w14:textId="05B38B60" w:rsidR="00282B0C" w:rsidRPr="00062512" w:rsidRDefault="00282B0C" w:rsidP="00282B0C">
            <w:pPr>
              <w:autoSpaceDE w:val="0"/>
              <w:autoSpaceDN w:val="0"/>
              <w:adjustRightInd w:val="0"/>
              <w:spacing w:before="60" w:after="60"/>
              <w:rPr>
                <w:rFonts w:ascii="Arial" w:hAnsi="Arial" w:cs="Arial"/>
                <w:b/>
                <w:bCs/>
                <w:sz w:val="18"/>
                <w:szCs w:val="18"/>
              </w:rPr>
            </w:pPr>
          </w:p>
        </w:tc>
        <w:tc>
          <w:tcPr>
            <w:tcW w:w="1440" w:type="dxa"/>
            <w:gridSpan w:val="2"/>
            <w:tcBorders>
              <w:top w:val="single" w:sz="8" w:space="0" w:color="4A8783"/>
              <w:left w:val="single" w:sz="8" w:space="0" w:color="4A8783"/>
              <w:bottom w:val="single" w:sz="8" w:space="0" w:color="4A8783"/>
            </w:tcBorders>
          </w:tcPr>
          <w:p w14:paraId="4A1041A7" w14:textId="6282E6BD" w:rsidR="00F963A6" w:rsidRPr="00062512" w:rsidRDefault="00F963A6" w:rsidP="00282B0C">
            <w:pPr>
              <w:autoSpaceDE w:val="0"/>
              <w:autoSpaceDN w:val="0"/>
              <w:adjustRightInd w:val="0"/>
              <w:spacing w:before="60" w:after="60"/>
              <w:rPr>
                <w:rFonts w:ascii="Arial" w:hAnsi="Arial" w:cs="Arial"/>
                <w:sz w:val="18"/>
                <w:szCs w:val="18"/>
              </w:rPr>
            </w:pPr>
            <w:r w:rsidRPr="00062512">
              <w:rPr>
                <w:rFonts w:ascii="Arial" w:hAnsi="Arial" w:cs="Arial"/>
                <w:sz w:val="18"/>
                <w:szCs w:val="18"/>
              </w:rPr>
              <w:t>Discussion</w:t>
            </w:r>
          </w:p>
          <w:p w14:paraId="553C0CF8" w14:textId="72628EE1" w:rsidR="00282B0C" w:rsidRPr="00227F90" w:rsidRDefault="00282B0C" w:rsidP="00282B0C">
            <w:pPr>
              <w:autoSpaceDE w:val="0"/>
              <w:autoSpaceDN w:val="0"/>
              <w:adjustRightInd w:val="0"/>
              <w:spacing w:before="60" w:after="60"/>
              <w:rPr>
                <w:rFonts w:ascii="Arial" w:hAnsi="Arial" w:cs="Arial"/>
                <w:sz w:val="18"/>
                <w:szCs w:val="18"/>
              </w:rPr>
            </w:pPr>
            <w:r w:rsidRPr="00062512">
              <w:rPr>
                <w:rFonts w:ascii="Arial" w:hAnsi="Arial" w:cs="Arial"/>
                <w:sz w:val="18"/>
                <w:szCs w:val="18"/>
              </w:rPr>
              <w:t>Paragraph 10</w:t>
            </w:r>
          </w:p>
        </w:tc>
      </w:tr>
      <w:tr w:rsidR="00282B0C" w:rsidRPr="00227F90" w14:paraId="34A00469" w14:textId="77777777" w:rsidTr="0067771F">
        <w:tc>
          <w:tcPr>
            <w:tcW w:w="9630" w:type="dxa"/>
            <w:tcBorders>
              <w:top w:val="single" w:sz="8" w:space="0" w:color="4A8783"/>
              <w:bottom w:val="single" w:sz="8" w:space="0" w:color="92AD4F"/>
              <w:right w:val="single" w:sz="8" w:space="0" w:color="4A8783"/>
            </w:tcBorders>
          </w:tcPr>
          <w:p w14:paraId="706B018C" w14:textId="622C3A38" w:rsidR="008E6F57" w:rsidRPr="00062512" w:rsidRDefault="00F963A6" w:rsidP="008E6F57">
            <w:pPr>
              <w:jc w:val="both"/>
              <w:rPr>
                <w:rFonts w:asciiTheme="minorBidi" w:eastAsia="Times New Roman" w:hAnsiTheme="minorBidi"/>
                <w:color w:val="1C1E29"/>
                <w:sz w:val="18"/>
                <w:szCs w:val="18"/>
              </w:rPr>
            </w:pPr>
            <w:r w:rsidRPr="00062512">
              <w:rPr>
                <w:rFonts w:ascii="Arial" w:hAnsi="Arial" w:cs="Arial"/>
                <w:b/>
                <w:bCs/>
                <w:noProof/>
                <w:sz w:val="18"/>
                <w:szCs w:val="18"/>
                <w:lang w:eastAsia="en-GB"/>
              </w:rPr>
              <w:t xml:space="preserve">Statistical methods      </w:t>
            </w:r>
            <w:r w:rsidR="008E6F57" w:rsidRPr="00062512">
              <w:rPr>
                <w:rFonts w:ascii="Arial" w:hAnsi="Arial" w:cs="Arial"/>
                <w:b/>
                <w:bCs/>
                <w:noProof/>
                <w:sz w:val="18"/>
                <w:szCs w:val="18"/>
                <w:lang w:eastAsia="en-GB"/>
              </w:rPr>
              <w:t xml:space="preserve">               13</w:t>
            </w:r>
            <w:r w:rsidRPr="00062512">
              <w:rPr>
                <w:rFonts w:ascii="Arial" w:hAnsi="Arial" w:cs="Arial"/>
                <w:b/>
                <w:bCs/>
                <w:noProof/>
                <w:sz w:val="18"/>
                <w:szCs w:val="18"/>
                <w:lang w:eastAsia="en-GB"/>
              </w:rPr>
              <w:t xml:space="preserve">  </w:t>
            </w:r>
            <w:r w:rsidR="00305CEF">
              <w:rPr>
                <w:rFonts w:ascii="Arial" w:hAnsi="Arial" w:cs="Arial"/>
                <w:b/>
                <w:bCs/>
                <w:noProof/>
                <w:sz w:val="18"/>
                <w:szCs w:val="18"/>
                <w:lang w:eastAsia="en-GB"/>
              </w:rPr>
              <w:t>a.  b.</w:t>
            </w:r>
            <w:r w:rsidRPr="00062512">
              <w:rPr>
                <w:rFonts w:ascii="Arial" w:hAnsi="Arial" w:cs="Arial"/>
                <w:b/>
                <w:bCs/>
                <w:noProof/>
                <w:sz w:val="18"/>
                <w:szCs w:val="18"/>
                <w:lang w:eastAsia="en-GB"/>
              </w:rPr>
              <w:t xml:space="preserve">    </w:t>
            </w:r>
            <w:r w:rsidR="008E6F57" w:rsidRPr="00062512">
              <w:rPr>
                <w:rFonts w:asciiTheme="minorBidi" w:eastAsia="Times New Roman" w:hAnsiTheme="minorBidi"/>
                <w:color w:val="1C1E29"/>
                <w:sz w:val="18"/>
                <w:szCs w:val="18"/>
              </w:rPr>
              <w:t xml:space="preserve">In this study, data were expressed as mean ± standard (S.E.M.). </w:t>
            </w:r>
            <w:bookmarkStart w:id="4" w:name="_Hlk32265544"/>
            <w:r w:rsidR="008E6F57" w:rsidRPr="00062512">
              <w:rPr>
                <w:rFonts w:asciiTheme="minorBidi" w:eastAsia="Times New Roman" w:hAnsiTheme="minorBidi"/>
                <w:color w:val="1C1E29"/>
                <w:sz w:val="18"/>
                <w:szCs w:val="18"/>
              </w:rPr>
              <w:t xml:space="preserve">GraphPad Prism </w:t>
            </w:r>
            <w:bookmarkEnd w:id="4"/>
            <w:r w:rsidR="008E6F57" w:rsidRPr="00062512">
              <w:rPr>
                <w:rFonts w:asciiTheme="minorBidi" w:eastAsia="Times New Roman" w:hAnsiTheme="minorBidi"/>
                <w:color w:val="1C1E29"/>
                <w:sz w:val="18"/>
                <w:szCs w:val="18"/>
              </w:rPr>
              <w:t xml:space="preserve">(version 6.0; GraphPad Prism Software Inc., San Diego, CA, USA) was used for statistical analysis. Data from behavioural tests were examined between groups by two-way ANOVA analysis followed by Tukey's post-hoc test for multiple comparisons. Western Blot analysis were compared by one-way ANOVA followed by Tukey's post-hoc test. Quantitative analysis of immunohistochemical images was performed by t-test.  </w:t>
            </w:r>
          </w:p>
          <w:p w14:paraId="542747F4" w14:textId="77777777" w:rsidR="008E6F57" w:rsidRPr="00062512" w:rsidRDefault="008E6F57" w:rsidP="008E6F57">
            <w:pPr>
              <w:jc w:val="both"/>
              <w:rPr>
                <w:rFonts w:asciiTheme="minorBidi" w:eastAsia="Times New Roman" w:hAnsiTheme="minorBidi"/>
                <w:color w:val="1C1E29"/>
                <w:sz w:val="18"/>
                <w:szCs w:val="18"/>
              </w:rPr>
            </w:pPr>
            <w:r w:rsidRPr="00062512">
              <w:rPr>
                <w:rFonts w:asciiTheme="minorBidi" w:eastAsia="Times New Roman" w:hAnsiTheme="minorBidi"/>
                <w:color w:val="1C1E29"/>
                <w:sz w:val="18"/>
                <w:szCs w:val="18"/>
              </w:rPr>
              <w:t>P-values less than 0.05 were considered as statistically significant.</w:t>
            </w:r>
          </w:p>
          <w:p w14:paraId="1D002ECF" w14:textId="02002B4B" w:rsidR="00282B0C" w:rsidRPr="00062512" w:rsidRDefault="00282B0C" w:rsidP="00282B0C">
            <w:pPr>
              <w:autoSpaceDE w:val="0"/>
              <w:autoSpaceDN w:val="0"/>
              <w:adjustRightInd w:val="0"/>
              <w:spacing w:before="60" w:after="60"/>
              <w:ind w:left="227" w:hanging="227"/>
              <w:rPr>
                <w:rFonts w:ascii="Arial" w:hAnsi="Arial" w:cs="Arial"/>
                <w:b/>
                <w:bCs/>
                <w:sz w:val="18"/>
                <w:szCs w:val="18"/>
              </w:rPr>
            </w:pPr>
          </w:p>
        </w:tc>
        <w:tc>
          <w:tcPr>
            <w:tcW w:w="1440" w:type="dxa"/>
            <w:gridSpan w:val="2"/>
            <w:tcBorders>
              <w:top w:val="single" w:sz="8" w:space="0" w:color="4A8783"/>
              <w:left w:val="single" w:sz="8" w:space="0" w:color="4A8783"/>
              <w:bottom w:val="single" w:sz="8" w:space="0" w:color="92AD4F"/>
            </w:tcBorders>
          </w:tcPr>
          <w:p w14:paraId="6E0DACA6" w14:textId="77777777" w:rsidR="00282B0C" w:rsidRDefault="008E6F57" w:rsidP="00282B0C">
            <w:pPr>
              <w:autoSpaceDE w:val="0"/>
              <w:autoSpaceDN w:val="0"/>
              <w:adjustRightInd w:val="0"/>
              <w:spacing w:before="60" w:after="60"/>
              <w:rPr>
                <w:rFonts w:ascii="Arial" w:hAnsi="Arial" w:cs="Arial"/>
                <w:sz w:val="18"/>
                <w:szCs w:val="18"/>
              </w:rPr>
            </w:pPr>
            <w:r>
              <w:rPr>
                <w:rFonts w:ascii="Arial" w:hAnsi="Arial" w:cs="Arial"/>
                <w:sz w:val="18"/>
                <w:szCs w:val="18"/>
              </w:rPr>
              <w:t>Statistical methods</w:t>
            </w:r>
          </w:p>
          <w:p w14:paraId="4B7B2F2B" w14:textId="77777777" w:rsidR="008E6F57" w:rsidRDefault="008E6F57" w:rsidP="00282B0C">
            <w:pPr>
              <w:autoSpaceDE w:val="0"/>
              <w:autoSpaceDN w:val="0"/>
              <w:adjustRightInd w:val="0"/>
              <w:spacing w:before="60" w:after="60"/>
              <w:rPr>
                <w:rFonts w:ascii="Arial" w:hAnsi="Arial" w:cs="Arial"/>
                <w:sz w:val="18"/>
                <w:szCs w:val="18"/>
              </w:rPr>
            </w:pPr>
            <w:r>
              <w:rPr>
                <w:rFonts w:ascii="Arial" w:hAnsi="Arial" w:cs="Arial"/>
                <w:sz w:val="18"/>
                <w:szCs w:val="18"/>
              </w:rPr>
              <w:t>Paragraph 1</w:t>
            </w:r>
          </w:p>
          <w:p w14:paraId="5472E4E3" w14:textId="2FD526E4" w:rsidR="007D2942" w:rsidRDefault="007D2942" w:rsidP="007D2942">
            <w:pPr>
              <w:autoSpaceDE w:val="0"/>
              <w:autoSpaceDN w:val="0"/>
              <w:adjustRightInd w:val="0"/>
              <w:spacing w:before="60" w:after="60"/>
              <w:rPr>
                <w:rFonts w:ascii="Arial" w:hAnsi="Arial" w:cs="Arial"/>
                <w:sz w:val="18"/>
                <w:szCs w:val="18"/>
              </w:rPr>
            </w:pPr>
          </w:p>
          <w:p w14:paraId="2B108A8D" w14:textId="332A9B90" w:rsidR="008E6F57" w:rsidRPr="00227F90" w:rsidRDefault="007D2942" w:rsidP="00282B0C">
            <w:pPr>
              <w:autoSpaceDE w:val="0"/>
              <w:autoSpaceDN w:val="0"/>
              <w:adjustRightInd w:val="0"/>
              <w:spacing w:before="60" w:after="60"/>
              <w:rPr>
                <w:rFonts w:ascii="Arial" w:hAnsi="Arial" w:cs="Arial"/>
                <w:sz w:val="18"/>
                <w:szCs w:val="18"/>
              </w:rPr>
            </w:pPr>
            <w:r>
              <w:rPr>
                <w:rFonts w:ascii="Arial" w:hAnsi="Arial" w:cs="Arial"/>
                <w:sz w:val="18"/>
                <w:szCs w:val="18"/>
              </w:rPr>
              <w:t xml:space="preserve"> </w:t>
            </w:r>
          </w:p>
        </w:tc>
      </w:tr>
      <w:tr w:rsidR="00282B0C" w:rsidRPr="00227F90" w14:paraId="6B1F3A33" w14:textId="77777777" w:rsidTr="0067771F">
        <w:tc>
          <w:tcPr>
            <w:tcW w:w="9630" w:type="dxa"/>
            <w:tcBorders>
              <w:top w:val="single" w:sz="8" w:space="0" w:color="92AD4F"/>
              <w:bottom w:val="single" w:sz="8" w:space="0" w:color="92AD4F"/>
              <w:right w:val="single" w:sz="8" w:space="0" w:color="92AD4F"/>
            </w:tcBorders>
            <w:shd w:val="clear" w:color="auto" w:fill="92AD4F"/>
          </w:tcPr>
          <w:p w14:paraId="79D60B08" w14:textId="77777777" w:rsidR="00282B0C" w:rsidRPr="00227F90" w:rsidRDefault="00282B0C" w:rsidP="00282B0C">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RESULTS</w:t>
            </w:r>
          </w:p>
        </w:tc>
        <w:tc>
          <w:tcPr>
            <w:tcW w:w="1440" w:type="dxa"/>
            <w:gridSpan w:val="2"/>
            <w:tcBorders>
              <w:top w:val="single" w:sz="8" w:space="0" w:color="92AD4F"/>
              <w:left w:val="single" w:sz="8" w:space="0" w:color="92AD4F"/>
              <w:bottom w:val="single" w:sz="8" w:space="0" w:color="92AD4F"/>
            </w:tcBorders>
            <w:shd w:val="clear" w:color="auto" w:fill="92AD4F"/>
          </w:tcPr>
          <w:p w14:paraId="23721869" w14:textId="77777777" w:rsidR="00282B0C" w:rsidRPr="00227F90" w:rsidRDefault="00282B0C" w:rsidP="00282B0C">
            <w:pPr>
              <w:autoSpaceDE w:val="0"/>
              <w:autoSpaceDN w:val="0"/>
              <w:adjustRightInd w:val="0"/>
              <w:spacing w:before="60" w:after="60"/>
              <w:rPr>
                <w:rFonts w:ascii="Arial" w:hAnsi="Arial" w:cs="Arial"/>
                <w:color w:val="FFFFFF" w:themeColor="background1"/>
                <w:sz w:val="18"/>
                <w:szCs w:val="18"/>
              </w:rPr>
            </w:pPr>
          </w:p>
        </w:tc>
      </w:tr>
      <w:tr w:rsidR="00282B0C" w:rsidRPr="00227F90" w14:paraId="12BDABBC" w14:textId="77777777" w:rsidTr="0067771F">
        <w:tc>
          <w:tcPr>
            <w:tcW w:w="9630" w:type="dxa"/>
            <w:tcBorders>
              <w:top w:val="single" w:sz="8" w:space="0" w:color="92AD4F"/>
              <w:bottom w:val="single" w:sz="8" w:space="0" w:color="92AD4F"/>
              <w:right w:val="single" w:sz="8" w:space="0" w:color="92AD4F"/>
            </w:tcBorders>
          </w:tcPr>
          <w:p w14:paraId="2F015903" w14:textId="25CBBE0A" w:rsidR="007D2942" w:rsidRPr="00530F9A" w:rsidRDefault="007D2942" w:rsidP="007D2942">
            <w:pPr>
              <w:pStyle w:val="NoSpacing"/>
              <w:rPr>
                <w:rFonts w:asciiTheme="minorBidi" w:hAnsiTheme="minorBidi"/>
                <w:sz w:val="18"/>
                <w:szCs w:val="18"/>
              </w:rPr>
            </w:pPr>
            <w:r w:rsidRPr="007D2942">
              <w:rPr>
                <w:rFonts w:asciiTheme="minorBidi" w:hAnsiTheme="minorBidi"/>
                <w:b/>
                <w:bCs/>
                <w:noProof/>
                <w:sz w:val="18"/>
                <w:szCs w:val="18"/>
                <w:lang w:eastAsia="en-GB"/>
              </w:rPr>
              <w:t>Baseline data                                   14</w:t>
            </w:r>
            <w:r>
              <w:rPr>
                <w:rFonts w:asciiTheme="minorBidi" w:hAnsiTheme="minorBidi"/>
                <w:noProof/>
                <w:sz w:val="18"/>
                <w:szCs w:val="18"/>
                <w:lang w:eastAsia="en-GB"/>
              </w:rPr>
              <w:t xml:space="preserve">       </w:t>
            </w:r>
            <w:r>
              <w:rPr>
                <w:rFonts w:asciiTheme="minorBidi" w:hAnsiTheme="minorBidi"/>
                <w:color w:val="C0504D" w:themeColor="accent2"/>
                <w:sz w:val="18"/>
                <w:szCs w:val="18"/>
              </w:rPr>
              <w:t xml:space="preserve"> </w:t>
            </w:r>
            <w:r w:rsidRPr="00530F9A">
              <w:rPr>
                <w:rFonts w:asciiTheme="minorBidi" w:hAnsiTheme="minorBidi"/>
                <w:sz w:val="18"/>
                <w:szCs w:val="18"/>
              </w:rPr>
              <w:t xml:space="preserve">Experiments were done on forty-eight adult male Wistar rats (Pasture Institute – Tehran, Iran), weight 180–220g that were housed three rats per cage and placed under a 12 h light/dark cycle in a room with controlled temperature (22 ± 1 °C) for ten days. Animals had ad libitum access to food and water. </w:t>
            </w:r>
          </w:p>
          <w:p w14:paraId="61C0A6B9" w14:textId="77777777" w:rsidR="007D2942" w:rsidRPr="0026500B" w:rsidRDefault="007D2942" w:rsidP="007D2942">
            <w:pPr>
              <w:pStyle w:val="NormalWeb"/>
              <w:spacing w:before="0" w:beforeAutospacing="0" w:after="0" w:afterAutospacing="0"/>
              <w:jc w:val="both"/>
              <w:rPr>
                <w:rFonts w:asciiTheme="minorBidi" w:hAnsiTheme="minorBidi" w:cstheme="minorBidi"/>
                <w:sz w:val="18"/>
                <w:szCs w:val="18"/>
              </w:rPr>
            </w:pPr>
            <w:r w:rsidRPr="004D41EB">
              <w:rPr>
                <w:rFonts w:asciiTheme="minorBidi" w:hAnsiTheme="minorBidi" w:cstheme="minorBidi"/>
                <w:sz w:val="18"/>
                <w:szCs w:val="18"/>
              </w:rPr>
              <w:t>Animals were allowed to habituate to the housing circumstances for several days before the experiments began. Behavioral studies were performed in a quiet condition</w:t>
            </w:r>
            <w:r w:rsidRPr="00DA2198">
              <w:rPr>
                <w:rFonts w:asciiTheme="minorBidi" w:hAnsiTheme="minorBidi" w:cstheme="minorBidi"/>
                <w:color w:val="0070C0"/>
                <w:sz w:val="18"/>
                <w:szCs w:val="18"/>
              </w:rPr>
              <w:t>.</w:t>
            </w:r>
            <w:r w:rsidRPr="00C4099D">
              <w:rPr>
                <w:rFonts w:asciiTheme="minorBidi" w:hAnsiTheme="minorBidi" w:cstheme="minorBidi"/>
                <w:sz w:val="18"/>
                <w:szCs w:val="18"/>
              </w:rPr>
              <w:t xml:space="preserve"> Efforts were made to use the minimum number of animals necessary to achieve statistical significance.</w:t>
            </w:r>
          </w:p>
          <w:p w14:paraId="2808B05D" w14:textId="36C8F0DB" w:rsidR="00282B0C" w:rsidRPr="007D2942" w:rsidRDefault="00282B0C" w:rsidP="00282B0C">
            <w:pPr>
              <w:autoSpaceDE w:val="0"/>
              <w:autoSpaceDN w:val="0"/>
              <w:adjustRightInd w:val="0"/>
              <w:spacing w:before="60" w:after="60"/>
              <w:rPr>
                <w:rFonts w:asciiTheme="minorBidi" w:hAnsiTheme="minorBidi"/>
                <w:sz w:val="18"/>
                <w:szCs w:val="18"/>
              </w:rPr>
            </w:pPr>
          </w:p>
        </w:tc>
        <w:tc>
          <w:tcPr>
            <w:tcW w:w="1440" w:type="dxa"/>
            <w:gridSpan w:val="2"/>
            <w:tcBorders>
              <w:top w:val="single" w:sz="8" w:space="0" w:color="92AD4F"/>
              <w:left w:val="single" w:sz="8" w:space="0" w:color="92AD4F"/>
              <w:bottom w:val="single" w:sz="8" w:space="0" w:color="92AD4F"/>
            </w:tcBorders>
          </w:tcPr>
          <w:p w14:paraId="6224667C" w14:textId="1058241D" w:rsidR="00282B0C" w:rsidRDefault="007D2942" w:rsidP="00282B0C">
            <w:pPr>
              <w:autoSpaceDE w:val="0"/>
              <w:autoSpaceDN w:val="0"/>
              <w:adjustRightInd w:val="0"/>
              <w:spacing w:before="60" w:after="60"/>
              <w:rPr>
                <w:rFonts w:ascii="Arial" w:hAnsi="Arial" w:cs="Arial"/>
                <w:sz w:val="18"/>
                <w:szCs w:val="18"/>
              </w:rPr>
            </w:pPr>
            <w:r>
              <w:rPr>
                <w:rFonts w:ascii="Arial" w:hAnsi="Arial" w:cs="Arial"/>
                <w:sz w:val="18"/>
                <w:szCs w:val="18"/>
              </w:rPr>
              <w:t>Method</w:t>
            </w:r>
          </w:p>
          <w:p w14:paraId="3B814841" w14:textId="77777777" w:rsidR="007D2942" w:rsidRDefault="007D2942" w:rsidP="007D2942">
            <w:pPr>
              <w:autoSpaceDE w:val="0"/>
              <w:autoSpaceDN w:val="0"/>
              <w:adjustRightInd w:val="0"/>
              <w:spacing w:before="60" w:after="60"/>
              <w:rPr>
                <w:rFonts w:ascii="Arial" w:hAnsi="Arial" w:cs="Arial"/>
                <w:sz w:val="18"/>
                <w:szCs w:val="18"/>
              </w:rPr>
            </w:pPr>
            <w:r>
              <w:rPr>
                <w:rFonts w:ascii="Arial" w:hAnsi="Arial" w:cs="Arial"/>
                <w:sz w:val="18"/>
                <w:szCs w:val="18"/>
              </w:rPr>
              <w:t>Paragraph 1</w:t>
            </w:r>
          </w:p>
          <w:p w14:paraId="206E1DFD" w14:textId="77777777" w:rsidR="007D2942" w:rsidRDefault="007D2942" w:rsidP="00282B0C">
            <w:pPr>
              <w:autoSpaceDE w:val="0"/>
              <w:autoSpaceDN w:val="0"/>
              <w:adjustRightInd w:val="0"/>
              <w:spacing w:before="60" w:after="60"/>
              <w:rPr>
                <w:rFonts w:ascii="Arial" w:hAnsi="Arial" w:cs="Arial"/>
                <w:sz w:val="18"/>
                <w:szCs w:val="18"/>
              </w:rPr>
            </w:pPr>
          </w:p>
          <w:p w14:paraId="7062A0BF" w14:textId="5C812990" w:rsidR="007D2942" w:rsidRPr="00227F90" w:rsidRDefault="007D2942" w:rsidP="00282B0C">
            <w:pPr>
              <w:autoSpaceDE w:val="0"/>
              <w:autoSpaceDN w:val="0"/>
              <w:adjustRightInd w:val="0"/>
              <w:spacing w:before="60" w:after="60"/>
              <w:rPr>
                <w:rFonts w:ascii="Arial" w:hAnsi="Arial" w:cs="Arial"/>
                <w:sz w:val="18"/>
                <w:szCs w:val="18"/>
              </w:rPr>
            </w:pPr>
          </w:p>
        </w:tc>
      </w:tr>
      <w:tr w:rsidR="00282B0C" w:rsidRPr="00227F90" w14:paraId="6192BF99" w14:textId="77777777" w:rsidTr="0067771F">
        <w:tc>
          <w:tcPr>
            <w:tcW w:w="9630" w:type="dxa"/>
            <w:tcBorders>
              <w:top w:val="single" w:sz="8" w:space="0" w:color="92AD4F"/>
              <w:bottom w:val="single" w:sz="8" w:space="0" w:color="92AD4F"/>
              <w:right w:val="single" w:sz="8" w:space="0" w:color="92AD4F"/>
            </w:tcBorders>
          </w:tcPr>
          <w:p w14:paraId="48F9842B" w14:textId="5A3B1773" w:rsidR="00282B0C" w:rsidRPr="00062512" w:rsidRDefault="00062512" w:rsidP="008B73BD">
            <w:pPr>
              <w:autoSpaceDE w:val="0"/>
              <w:autoSpaceDN w:val="0"/>
              <w:adjustRightInd w:val="0"/>
              <w:spacing w:before="60" w:after="60"/>
              <w:ind w:left="227" w:hanging="227"/>
              <w:rPr>
                <w:rFonts w:ascii="Arial" w:hAnsi="Arial" w:cs="Arial"/>
                <w:b/>
                <w:bCs/>
                <w:noProof/>
                <w:sz w:val="18"/>
                <w:szCs w:val="18"/>
                <w:lang w:eastAsia="en-GB"/>
              </w:rPr>
            </w:pPr>
            <w:r w:rsidRPr="00062512">
              <w:rPr>
                <w:rFonts w:ascii="Arial" w:hAnsi="Arial" w:cs="Arial"/>
                <w:b/>
                <w:bCs/>
                <w:noProof/>
                <w:sz w:val="18"/>
                <w:szCs w:val="18"/>
                <w:lang w:eastAsia="en-GB"/>
              </w:rPr>
              <w:t>Numb</w:t>
            </w:r>
            <w:r w:rsidR="008B73BD">
              <w:rPr>
                <w:rFonts w:ascii="Arial" w:hAnsi="Arial" w:cs="Arial"/>
                <w:b/>
                <w:bCs/>
                <w:noProof/>
                <w:sz w:val="18"/>
                <w:szCs w:val="18"/>
                <w:lang w:eastAsia="en-GB"/>
              </w:rPr>
              <w:t>er analysed</w:t>
            </w:r>
            <w:r w:rsidRPr="00062512">
              <w:rPr>
                <w:rFonts w:ascii="Arial" w:hAnsi="Arial" w:cs="Arial"/>
                <w:b/>
                <w:bCs/>
                <w:noProof/>
                <w:sz w:val="18"/>
                <w:szCs w:val="18"/>
                <w:lang w:eastAsia="en-GB"/>
              </w:rPr>
              <w:t xml:space="preserve">                            </w:t>
            </w:r>
            <w:r>
              <w:rPr>
                <w:rFonts w:ascii="Arial" w:hAnsi="Arial" w:cs="Arial"/>
                <w:b/>
                <w:bCs/>
                <w:noProof/>
                <w:sz w:val="18"/>
                <w:szCs w:val="18"/>
                <w:lang w:eastAsia="en-GB"/>
              </w:rPr>
              <w:t xml:space="preserve"> </w:t>
            </w:r>
            <w:r w:rsidR="008B73BD">
              <w:rPr>
                <w:rFonts w:ascii="Arial" w:hAnsi="Arial" w:cs="Arial"/>
                <w:b/>
                <w:bCs/>
                <w:noProof/>
                <w:sz w:val="18"/>
                <w:szCs w:val="18"/>
                <w:lang w:eastAsia="en-GB"/>
              </w:rPr>
              <w:t>15</w:t>
            </w:r>
            <w:r>
              <w:rPr>
                <w:rFonts w:ascii="Arial" w:hAnsi="Arial" w:cs="Arial"/>
                <w:b/>
                <w:bCs/>
                <w:noProof/>
                <w:sz w:val="18"/>
                <w:szCs w:val="18"/>
                <w:lang w:eastAsia="en-GB"/>
              </w:rPr>
              <w:t xml:space="preserve">   </w:t>
            </w:r>
            <w:r w:rsidR="00305CEF">
              <w:rPr>
                <w:rFonts w:ascii="Arial" w:hAnsi="Arial" w:cs="Arial"/>
                <w:b/>
                <w:bCs/>
                <w:noProof/>
                <w:sz w:val="18"/>
                <w:szCs w:val="18"/>
                <w:lang w:eastAsia="en-GB"/>
              </w:rPr>
              <w:t xml:space="preserve">a.  b. </w:t>
            </w:r>
            <w:r>
              <w:rPr>
                <w:rFonts w:ascii="Arial" w:hAnsi="Arial" w:cs="Arial"/>
                <w:b/>
                <w:bCs/>
                <w:noProof/>
                <w:sz w:val="18"/>
                <w:szCs w:val="18"/>
                <w:lang w:eastAsia="en-GB"/>
              </w:rPr>
              <w:t xml:space="preserve">     </w:t>
            </w:r>
            <w:r w:rsidR="008B73BD" w:rsidRPr="00530F9A">
              <w:rPr>
                <w:rFonts w:asciiTheme="minorBidi" w:hAnsiTheme="minorBidi"/>
                <w:sz w:val="18"/>
                <w:szCs w:val="18"/>
              </w:rPr>
              <w:t xml:space="preserve">Experiments were done on forty-eight adult male Wistar rats (Pasture Institute – Tehran, Iran), weight 180–220g that were housed three rats per cage and placed under a 12 h light/dark cycle in a room with controlled temperature (22 ± 1 °C) for ten days. </w:t>
            </w:r>
            <w:r w:rsidR="00305CEF">
              <w:rPr>
                <w:rFonts w:asciiTheme="minorBidi" w:hAnsiTheme="minorBidi"/>
                <w:sz w:val="18"/>
                <w:szCs w:val="18"/>
              </w:rPr>
              <w:t>R</w:t>
            </w:r>
            <w:r w:rsidR="00305CEF" w:rsidRPr="00C4099D">
              <w:rPr>
                <w:rFonts w:asciiTheme="minorBidi" w:hAnsiTheme="minorBidi"/>
                <w:sz w:val="18"/>
                <w:szCs w:val="18"/>
              </w:rPr>
              <w:t xml:space="preserve">ats were </w:t>
            </w:r>
            <w:r w:rsidR="00305CEF">
              <w:rPr>
                <w:rFonts w:asciiTheme="minorBidi" w:hAnsiTheme="minorBidi"/>
                <w:sz w:val="18"/>
                <w:szCs w:val="18"/>
              </w:rPr>
              <w:t xml:space="preserve">randomly </w:t>
            </w:r>
            <w:r w:rsidR="00305CEF" w:rsidRPr="00C4099D">
              <w:rPr>
                <w:rFonts w:asciiTheme="minorBidi" w:hAnsiTheme="minorBidi"/>
                <w:sz w:val="18"/>
                <w:szCs w:val="18"/>
              </w:rPr>
              <w:t xml:space="preserve">separated into 8 groups with 6 rats in each group and divided to tolerance and OIH groups: </w:t>
            </w:r>
            <w:proofErr w:type="spellStart"/>
            <w:r w:rsidR="00305CEF" w:rsidRPr="00C4099D">
              <w:rPr>
                <w:rFonts w:asciiTheme="minorBidi" w:hAnsiTheme="minorBidi"/>
                <w:sz w:val="18"/>
                <w:szCs w:val="18"/>
              </w:rPr>
              <w:t>i</w:t>
            </w:r>
            <w:proofErr w:type="spellEnd"/>
            <w:r w:rsidR="00305CEF" w:rsidRPr="00C4099D">
              <w:rPr>
                <w:rFonts w:asciiTheme="minorBidi" w:hAnsiTheme="minorBidi"/>
                <w:sz w:val="18"/>
                <w:szCs w:val="18"/>
              </w:rPr>
              <w:t xml:space="preserve">) sham, ii) morphine (10 mg), iii) treatment group: morphine10 mg and naloxone (NAL, 15 ng), and iv) naloxone (15 ng) and saline (SAL). </w:t>
            </w:r>
            <w:r>
              <w:rPr>
                <w:rFonts w:ascii="Arial" w:hAnsi="Arial" w:cs="Arial"/>
                <w:b/>
                <w:bCs/>
                <w:noProof/>
                <w:sz w:val="18"/>
                <w:szCs w:val="18"/>
                <w:lang w:eastAsia="en-GB"/>
              </w:rPr>
              <w:t xml:space="preserve"> </w:t>
            </w:r>
            <w:r w:rsidR="008B73BD">
              <w:rPr>
                <w:rFonts w:ascii="Arial" w:hAnsi="Arial" w:cs="Arial"/>
                <w:b/>
                <w:bCs/>
                <w:noProof/>
                <w:sz w:val="18"/>
                <w:szCs w:val="18"/>
                <w:lang w:eastAsia="en-GB"/>
              </w:rPr>
              <w:t xml:space="preserve">            </w:t>
            </w:r>
          </w:p>
          <w:p w14:paraId="117217F4" w14:textId="2F4A9CC3" w:rsidR="00062512" w:rsidRPr="00227F90" w:rsidRDefault="00062512" w:rsidP="00282B0C">
            <w:pPr>
              <w:autoSpaceDE w:val="0"/>
              <w:autoSpaceDN w:val="0"/>
              <w:adjustRightInd w:val="0"/>
              <w:spacing w:before="60" w:after="60"/>
              <w:ind w:left="227" w:hanging="227"/>
              <w:rPr>
                <w:rFonts w:ascii="Arial" w:hAnsi="Arial" w:cs="Arial"/>
                <w:sz w:val="18"/>
                <w:szCs w:val="18"/>
              </w:rPr>
            </w:pPr>
          </w:p>
        </w:tc>
        <w:tc>
          <w:tcPr>
            <w:tcW w:w="1440" w:type="dxa"/>
            <w:gridSpan w:val="2"/>
            <w:tcBorders>
              <w:top w:val="single" w:sz="8" w:space="0" w:color="92AD4F"/>
              <w:left w:val="single" w:sz="8" w:space="0" w:color="92AD4F"/>
              <w:bottom w:val="single" w:sz="8" w:space="0" w:color="92AD4F"/>
            </w:tcBorders>
          </w:tcPr>
          <w:p w14:paraId="1DA50A3F" w14:textId="77777777" w:rsidR="008B73BD" w:rsidRDefault="008B73BD" w:rsidP="008B73BD">
            <w:pPr>
              <w:autoSpaceDE w:val="0"/>
              <w:autoSpaceDN w:val="0"/>
              <w:adjustRightInd w:val="0"/>
              <w:spacing w:before="60" w:after="60"/>
              <w:rPr>
                <w:rFonts w:ascii="Arial" w:hAnsi="Arial" w:cs="Arial"/>
                <w:sz w:val="18"/>
                <w:szCs w:val="18"/>
              </w:rPr>
            </w:pPr>
            <w:r>
              <w:rPr>
                <w:rFonts w:ascii="Arial" w:hAnsi="Arial" w:cs="Arial"/>
                <w:sz w:val="18"/>
                <w:szCs w:val="18"/>
              </w:rPr>
              <w:t>Method</w:t>
            </w:r>
          </w:p>
          <w:p w14:paraId="5F86C3F7" w14:textId="48713FDD" w:rsidR="008B73BD" w:rsidRDefault="008B73BD" w:rsidP="008B73BD">
            <w:pPr>
              <w:autoSpaceDE w:val="0"/>
              <w:autoSpaceDN w:val="0"/>
              <w:adjustRightInd w:val="0"/>
              <w:spacing w:before="60" w:after="60"/>
              <w:rPr>
                <w:rFonts w:ascii="Arial" w:hAnsi="Arial" w:cs="Arial"/>
                <w:sz w:val="18"/>
                <w:szCs w:val="18"/>
              </w:rPr>
            </w:pPr>
            <w:r>
              <w:rPr>
                <w:rFonts w:ascii="Arial" w:hAnsi="Arial" w:cs="Arial"/>
                <w:sz w:val="18"/>
                <w:szCs w:val="18"/>
              </w:rPr>
              <w:t xml:space="preserve">Paragraph </w:t>
            </w:r>
            <w:r w:rsidR="00305CEF">
              <w:rPr>
                <w:rFonts w:ascii="Arial" w:hAnsi="Arial" w:cs="Arial"/>
                <w:sz w:val="18"/>
                <w:szCs w:val="18"/>
              </w:rPr>
              <w:t>2 &amp;4</w:t>
            </w:r>
          </w:p>
          <w:p w14:paraId="610D9825" w14:textId="77777777" w:rsidR="00282B0C" w:rsidRPr="00227F90" w:rsidRDefault="00282B0C" w:rsidP="00282B0C">
            <w:pPr>
              <w:autoSpaceDE w:val="0"/>
              <w:autoSpaceDN w:val="0"/>
              <w:adjustRightInd w:val="0"/>
              <w:spacing w:before="60" w:after="60"/>
              <w:rPr>
                <w:rFonts w:ascii="Arial" w:hAnsi="Arial" w:cs="Arial"/>
                <w:sz w:val="18"/>
                <w:szCs w:val="18"/>
              </w:rPr>
            </w:pPr>
          </w:p>
        </w:tc>
      </w:tr>
      <w:tr w:rsidR="00282B0C" w:rsidRPr="00227F90" w14:paraId="31CA0AE0" w14:textId="77777777" w:rsidTr="0067771F">
        <w:tc>
          <w:tcPr>
            <w:tcW w:w="9630" w:type="dxa"/>
            <w:tcBorders>
              <w:top w:val="single" w:sz="8" w:space="0" w:color="92AD4F"/>
              <w:bottom w:val="single" w:sz="8" w:space="0" w:color="92AD4F"/>
              <w:right w:val="single" w:sz="8" w:space="0" w:color="92AD4F"/>
            </w:tcBorders>
          </w:tcPr>
          <w:p w14:paraId="5433A1CC" w14:textId="77777777" w:rsidR="00305CEF" w:rsidRDefault="008B73BD" w:rsidP="00305CEF">
            <w:pPr>
              <w:pStyle w:val="NormalWeb"/>
              <w:spacing w:before="0" w:beforeAutospacing="0" w:after="0" w:afterAutospacing="0" w:line="480" w:lineRule="auto"/>
              <w:jc w:val="both"/>
              <w:rPr>
                <w:rFonts w:ascii="Arial" w:hAnsi="Arial" w:cs="Arial"/>
                <w:b/>
                <w:bCs/>
                <w:noProof/>
                <w:sz w:val="18"/>
                <w:szCs w:val="18"/>
                <w:lang w:eastAsia="en-GB"/>
              </w:rPr>
            </w:pPr>
            <w:r w:rsidRPr="008B73BD">
              <w:rPr>
                <w:rFonts w:ascii="Arial" w:hAnsi="Arial" w:cs="Arial"/>
                <w:b/>
                <w:bCs/>
                <w:noProof/>
                <w:sz w:val="18"/>
                <w:szCs w:val="18"/>
                <w:lang w:eastAsia="en-GB"/>
              </w:rPr>
              <w:t xml:space="preserve">Outcoms and estimation      </w:t>
            </w:r>
            <w:r>
              <w:rPr>
                <w:rFonts w:ascii="Arial" w:hAnsi="Arial" w:cs="Arial"/>
                <w:b/>
                <w:bCs/>
                <w:noProof/>
                <w:sz w:val="18"/>
                <w:szCs w:val="18"/>
                <w:lang w:eastAsia="en-GB"/>
              </w:rPr>
              <w:t xml:space="preserve">      </w:t>
            </w:r>
            <w:r w:rsidRPr="008B73BD">
              <w:rPr>
                <w:rFonts w:ascii="Arial" w:hAnsi="Arial" w:cs="Arial"/>
                <w:b/>
                <w:bCs/>
                <w:noProof/>
                <w:sz w:val="18"/>
                <w:szCs w:val="18"/>
                <w:lang w:eastAsia="en-GB"/>
              </w:rPr>
              <w:t xml:space="preserve">    16</w:t>
            </w:r>
            <w:r>
              <w:rPr>
                <w:rFonts w:ascii="Arial" w:hAnsi="Arial" w:cs="Arial"/>
                <w:b/>
                <w:bCs/>
                <w:noProof/>
                <w:sz w:val="18"/>
                <w:szCs w:val="18"/>
                <w:lang w:eastAsia="en-GB"/>
              </w:rPr>
              <w:t xml:space="preserve">         </w:t>
            </w:r>
          </w:p>
          <w:p w14:paraId="18A514E5" w14:textId="77777777" w:rsidR="00305CEF" w:rsidRDefault="008B73BD" w:rsidP="00305CEF">
            <w:pPr>
              <w:pStyle w:val="NormalWeb"/>
              <w:spacing w:before="0" w:beforeAutospacing="0" w:after="0" w:afterAutospacing="0" w:line="480" w:lineRule="auto"/>
              <w:jc w:val="both"/>
            </w:pPr>
            <w:r>
              <w:rPr>
                <w:rFonts w:ascii="Arial" w:hAnsi="Arial" w:cs="Arial"/>
                <w:b/>
                <w:bCs/>
                <w:noProof/>
                <w:sz w:val="18"/>
                <w:szCs w:val="18"/>
                <w:lang w:eastAsia="en-GB"/>
              </w:rPr>
              <w:t xml:space="preserve"> </w:t>
            </w:r>
            <w:r w:rsidRPr="008B73BD">
              <w:rPr>
                <w:rStyle w:val="Strong"/>
                <w:rFonts w:asciiTheme="minorBidi" w:hAnsiTheme="minorBidi" w:cstheme="minorBidi"/>
                <w:color w:val="1C1E29"/>
                <w:sz w:val="18"/>
                <w:szCs w:val="18"/>
              </w:rPr>
              <w:t>Tail flick test on day 1, 5, and 8 after morphine injection</w:t>
            </w:r>
            <w:r w:rsidRPr="00FE2A55">
              <w:rPr>
                <w:rStyle w:val="Strong"/>
                <w:rFonts w:asciiTheme="majorBidi" w:hAnsiTheme="majorBidi" w:cstheme="majorBidi"/>
                <w:color w:val="1C1E29"/>
              </w:rPr>
              <w:t> </w:t>
            </w:r>
          </w:p>
          <w:p w14:paraId="54D24FB5" w14:textId="51C89FBE" w:rsidR="008B73BD" w:rsidRPr="00305CEF" w:rsidRDefault="008B73BD" w:rsidP="00305CEF">
            <w:pPr>
              <w:pStyle w:val="NormalWeb"/>
              <w:spacing w:before="0" w:beforeAutospacing="0" w:after="0" w:afterAutospacing="0"/>
              <w:jc w:val="both"/>
            </w:pPr>
            <w:r w:rsidRPr="008B73BD">
              <w:rPr>
                <w:rFonts w:asciiTheme="minorBidi" w:hAnsiTheme="minorBidi" w:cstheme="minorBidi"/>
                <w:color w:val="1C1E29"/>
                <w:sz w:val="18"/>
                <w:szCs w:val="18"/>
              </w:rPr>
              <w:t xml:space="preserve">Four-hour tail-flick test results in the morphine group compared with the sham group showed the antinociceptive effect of morphine. Indeed, morphine created the maximum possible analgesic effects (MPAE). This effect remained significant in the sham group, although it decreased gradually from 120 min after injection to 240 min. Also, the results showed that co-administration of the ineffective dose of naloxone along with morphine the first day sustained the antinociceptive effect of morphine when compared to the sham group for up to three hours but decreased from 180 </w:t>
            </w:r>
            <w:r w:rsidRPr="008B73BD">
              <w:rPr>
                <w:rFonts w:asciiTheme="minorBidi" w:hAnsiTheme="minorBidi" w:cstheme="minorBidi"/>
                <w:color w:val="1C1E29"/>
                <w:sz w:val="18"/>
                <w:szCs w:val="18"/>
              </w:rPr>
              <w:lastRenderedPageBreak/>
              <w:t>minutes to 240 min. However, it was not able to sustain the analgesic effect when compared to the morphine group (Figure 1).</w:t>
            </w:r>
          </w:p>
          <w:p w14:paraId="2348AEB1" w14:textId="77777777" w:rsidR="008B73BD" w:rsidRPr="00BF6F2D" w:rsidRDefault="008B73BD" w:rsidP="008B73BD">
            <w:pPr>
              <w:pStyle w:val="NormalWeb"/>
              <w:spacing w:before="0" w:beforeAutospacing="0" w:after="0" w:afterAutospacing="0"/>
              <w:jc w:val="both"/>
              <w:rPr>
                <w:rFonts w:asciiTheme="minorBidi" w:hAnsiTheme="minorBidi" w:cstheme="minorBidi"/>
                <w:color w:val="1C1E29"/>
                <w:sz w:val="18"/>
                <w:szCs w:val="18"/>
              </w:rPr>
            </w:pPr>
            <w:r w:rsidRPr="008B73BD">
              <w:rPr>
                <w:rFonts w:asciiTheme="minorBidi" w:hAnsiTheme="minorBidi" w:cstheme="minorBidi"/>
                <w:color w:val="1C1E29"/>
                <w:sz w:val="18"/>
                <w:szCs w:val="18"/>
              </w:rPr>
              <w:t>On day 5, the four-hour tail-flick test in the morphine-treated group as compared with the sham group showed the antinociceptive effect of morphine within the first 60 minutes after injection. This effect gradually decreased from 60 min</w:t>
            </w:r>
            <w:r w:rsidRPr="00BF6F2D">
              <w:rPr>
                <w:rFonts w:asciiTheme="minorBidi" w:hAnsiTheme="minorBidi" w:cstheme="minorBidi"/>
                <w:color w:val="1C1E29"/>
                <w:sz w:val="18"/>
                <w:szCs w:val="18"/>
              </w:rPr>
              <w:t xml:space="preserve"> after injection to 120 min and continued decreasing until 240 min when it became similar to the sham group. The results of the same test showed that in the ineffective dose of co-administration of naloxone along with morphine up to day 5, the analgesic effect of morphine could be maintained for two hours, but after 120 minutes gradually decreased and became similar to the sham group (Figure 2).</w:t>
            </w:r>
          </w:p>
          <w:p w14:paraId="36629145" w14:textId="77777777" w:rsidR="008B73BD" w:rsidRPr="00BF6F2D" w:rsidRDefault="008B73BD" w:rsidP="008B73BD">
            <w:pPr>
              <w:pStyle w:val="NormalWeb"/>
              <w:spacing w:before="0" w:beforeAutospacing="0" w:after="0" w:afterAutospacing="0"/>
              <w:jc w:val="both"/>
              <w:rPr>
                <w:rFonts w:asciiTheme="minorBidi" w:hAnsiTheme="minorBidi" w:cstheme="minorBidi"/>
                <w:color w:val="1C1E29"/>
                <w:sz w:val="18"/>
                <w:szCs w:val="18"/>
              </w:rPr>
            </w:pPr>
            <w:r w:rsidRPr="00BF6F2D">
              <w:rPr>
                <w:rFonts w:asciiTheme="minorBidi" w:hAnsiTheme="minorBidi" w:cstheme="minorBidi"/>
                <w:color w:val="1C1E29"/>
                <w:sz w:val="18"/>
                <w:szCs w:val="18"/>
              </w:rPr>
              <w:t>On day 8, the results of the tail-flick test in the morphine-treated group as compared to the sham group showed an analgesic effect within the first 30 minutes after injection. This effect gradually decreased from 30 min to 240 min when it approached the sham group. Results of the same test showed in the ineffective dose of co-administration of naloxone along with morphine up to day 8 that the antinociceptive effect of morphine was maintained for up to 240 minutes and was significant when compared to the sham and morphine groups (Figure 3).</w:t>
            </w:r>
          </w:p>
          <w:p w14:paraId="29601B62" w14:textId="77777777" w:rsidR="00305CEF" w:rsidRDefault="008B73BD" w:rsidP="00305CEF">
            <w:pPr>
              <w:pStyle w:val="NormalWeb"/>
              <w:spacing w:before="0" w:beforeAutospacing="0" w:after="0" w:afterAutospacing="0"/>
              <w:jc w:val="both"/>
              <w:rPr>
                <w:rFonts w:asciiTheme="minorBidi" w:hAnsiTheme="minorBidi" w:cstheme="minorBidi"/>
                <w:color w:val="1C1E29"/>
                <w:sz w:val="18"/>
                <w:szCs w:val="18"/>
              </w:rPr>
            </w:pPr>
            <w:r w:rsidRPr="00BF6F2D">
              <w:rPr>
                <w:rFonts w:asciiTheme="minorBidi" w:hAnsiTheme="minorBidi" w:cstheme="minorBidi"/>
                <w:color w:val="1C1E29"/>
                <w:sz w:val="18"/>
                <w:szCs w:val="18"/>
              </w:rPr>
              <w:t>The results of an ineffective dose of naloxone for 8 days showed no significant antinociceptive effect on the experimental days. </w:t>
            </w:r>
          </w:p>
          <w:p w14:paraId="629F2165" w14:textId="30184A42" w:rsidR="00F313B4" w:rsidRPr="00305CEF" w:rsidRDefault="00F313B4" w:rsidP="00305CEF">
            <w:pPr>
              <w:pStyle w:val="NormalWeb"/>
              <w:spacing w:before="0" w:beforeAutospacing="0" w:after="0" w:afterAutospacing="0"/>
              <w:jc w:val="both"/>
              <w:rPr>
                <w:rFonts w:asciiTheme="minorBidi" w:hAnsiTheme="minorBidi" w:cstheme="minorBidi"/>
                <w:color w:val="1C1E29"/>
                <w:sz w:val="18"/>
                <w:szCs w:val="18"/>
              </w:rPr>
            </w:pPr>
            <w:r w:rsidRPr="00BF6F2D">
              <w:rPr>
                <w:rFonts w:asciiTheme="minorBidi" w:hAnsiTheme="minorBidi"/>
                <w:b/>
                <w:bCs/>
                <w:color w:val="1C1E29"/>
                <w:sz w:val="18"/>
                <w:szCs w:val="18"/>
              </w:rPr>
              <w:t>Thermal hyperalgesia between days 1 and 10 using the Hargreaves test</w:t>
            </w:r>
          </w:p>
          <w:p w14:paraId="0DD10E71" w14:textId="3C155E24" w:rsidR="00F313B4" w:rsidRDefault="00F313B4" w:rsidP="00F313B4">
            <w:pPr>
              <w:jc w:val="both"/>
              <w:rPr>
                <w:rFonts w:asciiTheme="minorBidi" w:eastAsia="Times New Roman" w:hAnsiTheme="minorBidi"/>
                <w:color w:val="1C1E29"/>
                <w:sz w:val="18"/>
                <w:szCs w:val="18"/>
              </w:rPr>
            </w:pPr>
            <w:r w:rsidRPr="00BF6F2D">
              <w:rPr>
                <w:rFonts w:asciiTheme="minorBidi" w:eastAsia="Times New Roman" w:hAnsiTheme="minorBidi"/>
                <w:color w:val="1C1E29"/>
                <w:sz w:val="18"/>
                <w:szCs w:val="18"/>
              </w:rPr>
              <w:t>The results of the withdrawal plantar test, which measure thermal hyperalgesia, showed there was no significant difference between experimental groups on the first day before drug injection. Eight consecutive days of morphine injection showed thermal hyperalgesia on day 10 (48 hours after the last morphine injection) and before drug injection. A withdrawal plantar test on day 10 showed significant hyperalgesia in the morphine group, but in the ineffective dose of co-administration of naloxone along with morphine group there was no significant paw withdrawal when compared to the sham group. The naloxone groups did not show any significant antinociceptive effect (Figure 4).</w:t>
            </w:r>
          </w:p>
          <w:p w14:paraId="5F8FEE4C" w14:textId="7E5B212A" w:rsidR="00F313B4" w:rsidRDefault="00305CEF" w:rsidP="00F313B4">
            <w:pPr>
              <w:jc w:val="both"/>
              <w:rPr>
                <w:rFonts w:asciiTheme="minorBidi" w:eastAsia="Times New Roman" w:hAnsiTheme="minorBidi"/>
                <w:b/>
                <w:bCs/>
                <w:color w:val="1C1E29"/>
                <w:sz w:val="18"/>
                <w:szCs w:val="18"/>
              </w:rPr>
            </w:pPr>
            <w:r>
              <w:rPr>
                <w:rFonts w:asciiTheme="minorBidi" w:eastAsia="Times New Roman" w:hAnsiTheme="minorBidi"/>
                <w:b/>
                <w:bCs/>
                <w:color w:val="1C1E29"/>
                <w:sz w:val="18"/>
                <w:szCs w:val="18"/>
              </w:rPr>
              <w:t xml:space="preserve"> </w:t>
            </w:r>
            <w:r w:rsidR="00F313B4" w:rsidRPr="00AB7587">
              <w:rPr>
                <w:rFonts w:asciiTheme="minorBidi" w:eastAsia="Times New Roman" w:hAnsiTheme="minorBidi"/>
                <w:b/>
                <w:bCs/>
                <w:color w:val="1C1E29"/>
                <w:sz w:val="18"/>
                <w:szCs w:val="18"/>
              </w:rPr>
              <w:t>BDNF protein expression changes following chronic administration of morphine</w:t>
            </w:r>
          </w:p>
          <w:p w14:paraId="2FB5C2F6" w14:textId="77777777" w:rsidR="00F313B4" w:rsidRPr="00AB7587" w:rsidRDefault="00F313B4" w:rsidP="00F313B4">
            <w:pPr>
              <w:jc w:val="both"/>
              <w:rPr>
                <w:rFonts w:asciiTheme="minorBidi" w:eastAsia="Times New Roman" w:hAnsiTheme="minorBidi"/>
                <w:color w:val="1C1E29"/>
                <w:sz w:val="18"/>
                <w:szCs w:val="18"/>
              </w:rPr>
            </w:pPr>
            <w:r w:rsidRPr="00AB7587">
              <w:rPr>
                <w:rFonts w:asciiTheme="minorBidi" w:eastAsia="Times New Roman" w:hAnsiTheme="minorBidi"/>
                <w:color w:val="1C1E29"/>
                <w:sz w:val="18"/>
                <w:szCs w:val="18"/>
              </w:rPr>
              <w:t>Western blot analysis showed the administration of morphine for 8 consecutive days increased BDNF protein expression in spinal dorsal horn neurons on days 8 and 10. Co-administration of an ineffective dose of naloxone along with morphine decreased the BDNF expression. The decreased expression of BDNF on day 8 was greater than day 10. There were no significant changes in BDNF expression between the ineffective dose of naloxone and sham groups (Figure 5).</w:t>
            </w:r>
          </w:p>
          <w:p w14:paraId="5EFDFA1D" w14:textId="77777777" w:rsidR="00F313B4" w:rsidRPr="00AB7587" w:rsidRDefault="00F313B4" w:rsidP="00F313B4">
            <w:pPr>
              <w:autoSpaceDE w:val="0"/>
              <w:autoSpaceDN w:val="0"/>
              <w:adjustRightInd w:val="0"/>
              <w:jc w:val="both"/>
              <w:rPr>
                <w:rFonts w:asciiTheme="minorBidi" w:hAnsiTheme="minorBidi"/>
                <w:b/>
                <w:bCs/>
                <w:sz w:val="18"/>
                <w:szCs w:val="18"/>
              </w:rPr>
            </w:pPr>
            <w:r w:rsidRPr="00AB7587">
              <w:rPr>
                <w:rFonts w:asciiTheme="minorBidi" w:hAnsiTheme="minorBidi"/>
                <w:b/>
                <w:bCs/>
                <w:sz w:val="18"/>
                <w:szCs w:val="18"/>
              </w:rPr>
              <w:t>KCC2 expression following chronic administration of morphine using the immunohistochemical technique</w:t>
            </w:r>
          </w:p>
          <w:p w14:paraId="507101AD" w14:textId="2ECBDE37" w:rsidR="00F313B4" w:rsidRDefault="00F313B4" w:rsidP="00F313B4">
            <w:pPr>
              <w:autoSpaceDE w:val="0"/>
              <w:autoSpaceDN w:val="0"/>
              <w:adjustRightInd w:val="0"/>
              <w:jc w:val="both"/>
              <w:rPr>
                <w:rFonts w:asciiTheme="minorBidi" w:hAnsiTheme="minorBidi"/>
                <w:sz w:val="18"/>
                <w:szCs w:val="18"/>
              </w:rPr>
            </w:pPr>
            <w:r w:rsidRPr="00AB7587">
              <w:rPr>
                <w:rFonts w:asciiTheme="minorBidi" w:hAnsiTheme="minorBidi"/>
                <w:sz w:val="18"/>
                <w:szCs w:val="18"/>
              </w:rPr>
              <w:t>Immunohistochemical analysis of KCC2 in the lumbar section of the spinal cord following chronic administration of morphine for 8 consecutive days showed a significant decrease of KCC2 on day 8 (tolerance) and day 10 (hyperalgesia) when compared to the sham group. Co-administration of 10ng daily injection of naloxone along with morphine increased the expression of KCC2 in the spinal dorsal horn neurons on days 8 and 10 when compared to the sham group (Figure 6). Since both results on days 8 and 10 were similar and there were no significant changes of KCC2 in the dorsal horn neurons between days 8 and 10, we indicated day 10 images.</w:t>
            </w:r>
          </w:p>
          <w:p w14:paraId="5E18B055" w14:textId="77777777" w:rsidR="003813DD" w:rsidRPr="00AB7587" w:rsidRDefault="003813DD" w:rsidP="00F313B4">
            <w:pPr>
              <w:autoSpaceDE w:val="0"/>
              <w:autoSpaceDN w:val="0"/>
              <w:adjustRightInd w:val="0"/>
              <w:jc w:val="both"/>
              <w:rPr>
                <w:rFonts w:asciiTheme="minorBidi" w:hAnsiTheme="minorBidi"/>
                <w:color w:val="FF0000"/>
                <w:sz w:val="18"/>
                <w:szCs w:val="18"/>
              </w:rPr>
            </w:pPr>
          </w:p>
          <w:p w14:paraId="1A5A2D35" w14:textId="1084F830" w:rsidR="00F313B4" w:rsidRPr="00AB7587" w:rsidRDefault="00F313B4" w:rsidP="00F313B4">
            <w:pPr>
              <w:jc w:val="both"/>
              <w:rPr>
                <w:rFonts w:asciiTheme="minorBidi" w:eastAsia="Times New Roman" w:hAnsiTheme="minorBidi"/>
                <w:color w:val="1C1E29"/>
                <w:sz w:val="18"/>
                <w:szCs w:val="18"/>
              </w:rPr>
            </w:pPr>
            <w:r>
              <w:rPr>
                <w:rFonts w:asciiTheme="minorBidi" w:eastAsia="Times New Roman" w:hAnsiTheme="minorBidi"/>
                <w:color w:val="1C1E29"/>
                <w:sz w:val="18"/>
                <w:szCs w:val="18"/>
              </w:rPr>
              <w:t xml:space="preserve"> </w:t>
            </w:r>
          </w:p>
          <w:p w14:paraId="3A781DDE" w14:textId="0BB5FBF7" w:rsidR="00F313B4" w:rsidRPr="00BF6F2D" w:rsidRDefault="00F313B4" w:rsidP="008B73BD">
            <w:pPr>
              <w:pStyle w:val="NormalWeb"/>
              <w:spacing w:before="0" w:beforeAutospacing="0" w:after="0" w:afterAutospacing="0"/>
              <w:jc w:val="both"/>
              <w:rPr>
                <w:rFonts w:asciiTheme="minorBidi" w:hAnsiTheme="minorBidi" w:cstheme="minorBidi"/>
                <w:color w:val="1C1E29"/>
                <w:sz w:val="18"/>
                <w:szCs w:val="18"/>
              </w:rPr>
            </w:pPr>
          </w:p>
          <w:p w14:paraId="55CD2999" w14:textId="0B102040" w:rsidR="00282B0C" w:rsidRPr="008B73BD" w:rsidRDefault="00282B0C" w:rsidP="00282B0C">
            <w:pPr>
              <w:autoSpaceDE w:val="0"/>
              <w:autoSpaceDN w:val="0"/>
              <w:adjustRightInd w:val="0"/>
              <w:spacing w:before="60" w:after="60"/>
              <w:rPr>
                <w:rFonts w:ascii="Arial" w:hAnsi="Arial" w:cs="Arial"/>
                <w:b/>
                <w:bCs/>
                <w:sz w:val="18"/>
                <w:szCs w:val="18"/>
              </w:rPr>
            </w:pPr>
          </w:p>
        </w:tc>
        <w:tc>
          <w:tcPr>
            <w:tcW w:w="1440" w:type="dxa"/>
            <w:gridSpan w:val="2"/>
            <w:tcBorders>
              <w:top w:val="single" w:sz="8" w:space="0" w:color="92AD4F"/>
              <w:left w:val="single" w:sz="8" w:space="0" w:color="92AD4F"/>
              <w:bottom w:val="single" w:sz="8" w:space="0" w:color="92AD4F"/>
            </w:tcBorders>
          </w:tcPr>
          <w:p w14:paraId="260780F8" w14:textId="77777777" w:rsidR="00282B0C" w:rsidRDefault="008B73BD" w:rsidP="00282B0C">
            <w:pPr>
              <w:autoSpaceDE w:val="0"/>
              <w:autoSpaceDN w:val="0"/>
              <w:adjustRightInd w:val="0"/>
              <w:spacing w:before="60" w:after="60"/>
              <w:rPr>
                <w:rFonts w:ascii="Arial" w:hAnsi="Arial" w:cs="Arial"/>
                <w:sz w:val="18"/>
                <w:szCs w:val="18"/>
              </w:rPr>
            </w:pPr>
            <w:r>
              <w:rPr>
                <w:rFonts w:ascii="Arial" w:hAnsi="Arial" w:cs="Arial"/>
                <w:sz w:val="18"/>
                <w:szCs w:val="18"/>
              </w:rPr>
              <w:lastRenderedPageBreak/>
              <w:t>Results</w:t>
            </w:r>
          </w:p>
          <w:p w14:paraId="4AC760D0" w14:textId="77777777" w:rsidR="00F313B4" w:rsidRDefault="00F313B4" w:rsidP="00282B0C">
            <w:pPr>
              <w:autoSpaceDE w:val="0"/>
              <w:autoSpaceDN w:val="0"/>
              <w:adjustRightInd w:val="0"/>
              <w:spacing w:before="60" w:after="60"/>
              <w:rPr>
                <w:rFonts w:ascii="Arial" w:hAnsi="Arial" w:cs="Arial"/>
                <w:sz w:val="18"/>
                <w:szCs w:val="18"/>
              </w:rPr>
            </w:pPr>
          </w:p>
          <w:p w14:paraId="20CFDC18" w14:textId="6A66FEE7" w:rsidR="00F313B4" w:rsidRDefault="00F313B4" w:rsidP="003D7B62">
            <w:pPr>
              <w:autoSpaceDE w:val="0"/>
              <w:autoSpaceDN w:val="0"/>
              <w:adjustRightInd w:val="0"/>
              <w:spacing w:before="60" w:after="60"/>
              <w:rPr>
                <w:rFonts w:ascii="Arial" w:hAnsi="Arial" w:cs="Arial"/>
                <w:sz w:val="18"/>
                <w:szCs w:val="18"/>
              </w:rPr>
            </w:pPr>
            <w:r>
              <w:rPr>
                <w:rFonts w:ascii="Arial" w:hAnsi="Arial" w:cs="Arial"/>
                <w:sz w:val="18"/>
                <w:szCs w:val="18"/>
              </w:rPr>
              <w:t>Paragraph 1</w:t>
            </w:r>
            <w:r w:rsidR="003D7B62">
              <w:rPr>
                <w:rFonts w:ascii="Arial" w:hAnsi="Arial" w:cs="Arial"/>
                <w:sz w:val="18"/>
                <w:szCs w:val="18"/>
              </w:rPr>
              <w:t>-</w:t>
            </w:r>
            <w:r>
              <w:rPr>
                <w:rFonts w:ascii="Arial" w:hAnsi="Arial" w:cs="Arial"/>
                <w:sz w:val="18"/>
                <w:szCs w:val="18"/>
              </w:rPr>
              <w:t>7</w:t>
            </w:r>
          </w:p>
          <w:p w14:paraId="3B46010A" w14:textId="77777777" w:rsidR="00FB06B6" w:rsidRDefault="00FB06B6" w:rsidP="00282B0C">
            <w:pPr>
              <w:autoSpaceDE w:val="0"/>
              <w:autoSpaceDN w:val="0"/>
              <w:adjustRightInd w:val="0"/>
              <w:spacing w:before="60" w:after="60"/>
              <w:rPr>
                <w:rFonts w:ascii="Arial" w:hAnsi="Arial" w:cs="Arial"/>
                <w:sz w:val="18"/>
                <w:szCs w:val="18"/>
              </w:rPr>
            </w:pPr>
          </w:p>
          <w:p w14:paraId="3AC1A454" w14:textId="568495EB" w:rsidR="00FB06B6" w:rsidRPr="00227F90" w:rsidRDefault="00FB06B6" w:rsidP="00282B0C">
            <w:pPr>
              <w:autoSpaceDE w:val="0"/>
              <w:autoSpaceDN w:val="0"/>
              <w:adjustRightInd w:val="0"/>
              <w:spacing w:before="60" w:after="60"/>
              <w:rPr>
                <w:rFonts w:ascii="Arial" w:hAnsi="Arial" w:cs="Arial"/>
                <w:sz w:val="18"/>
                <w:szCs w:val="18"/>
              </w:rPr>
            </w:pPr>
            <w:r>
              <w:rPr>
                <w:rFonts w:ascii="Arial" w:hAnsi="Arial" w:cs="Arial"/>
                <w:sz w:val="18"/>
                <w:szCs w:val="18"/>
              </w:rPr>
              <w:t>Figs.1</w:t>
            </w:r>
            <w:r w:rsidR="003D7B62">
              <w:rPr>
                <w:rFonts w:ascii="Arial" w:hAnsi="Arial" w:cs="Arial"/>
                <w:sz w:val="18"/>
                <w:szCs w:val="18"/>
              </w:rPr>
              <w:t>-</w:t>
            </w:r>
            <w:r w:rsidR="00305CEF">
              <w:rPr>
                <w:rFonts w:ascii="Arial" w:hAnsi="Arial" w:cs="Arial"/>
                <w:sz w:val="18"/>
                <w:szCs w:val="18"/>
              </w:rPr>
              <w:t>6</w:t>
            </w:r>
          </w:p>
        </w:tc>
      </w:tr>
      <w:tr w:rsidR="00282B0C" w:rsidRPr="00227F90" w14:paraId="1C76AB05" w14:textId="77777777" w:rsidTr="0067771F">
        <w:tc>
          <w:tcPr>
            <w:tcW w:w="9630" w:type="dxa"/>
            <w:tcBorders>
              <w:top w:val="single" w:sz="8" w:space="0" w:color="92AD4F"/>
              <w:bottom w:val="single" w:sz="8" w:space="0" w:color="642D5C"/>
              <w:right w:val="single" w:sz="8" w:space="0" w:color="92AD4F"/>
            </w:tcBorders>
          </w:tcPr>
          <w:p w14:paraId="68F9FF9F" w14:textId="4111B92E" w:rsidR="00FB06B6" w:rsidRPr="00BF6F2D" w:rsidRDefault="00FB06B6" w:rsidP="00FB06B6">
            <w:pPr>
              <w:pStyle w:val="NormalWeb"/>
              <w:spacing w:before="0" w:beforeAutospacing="0" w:after="0" w:afterAutospacing="0"/>
              <w:jc w:val="both"/>
              <w:rPr>
                <w:rFonts w:asciiTheme="minorBidi" w:hAnsiTheme="minorBidi" w:cstheme="minorBidi"/>
                <w:color w:val="1C1E29"/>
                <w:sz w:val="18"/>
                <w:szCs w:val="18"/>
              </w:rPr>
            </w:pPr>
            <w:r w:rsidRPr="0067771F">
              <w:rPr>
                <w:rFonts w:ascii="Arial" w:hAnsi="Arial" w:cs="Arial"/>
                <w:b/>
                <w:bCs/>
                <w:noProof/>
                <w:sz w:val="18"/>
                <w:szCs w:val="18"/>
                <w:lang w:eastAsia="en-GB"/>
              </w:rPr>
              <w:t xml:space="preserve">Adverse events                 </w:t>
            </w:r>
            <w:r w:rsidR="0067771F">
              <w:rPr>
                <w:rFonts w:ascii="Arial" w:hAnsi="Arial" w:cs="Arial"/>
                <w:b/>
                <w:bCs/>
                <w:noProof/>
                <w:sz w:val="18"/>
                <w:szCs w:val="18"/>
                <w:lang w:eastAsia="en-GB"/>
              </w:rPr>
              <w:t xml:space="preserve">          </w:t>
            </w:r>
            <w:r w:rsidRPr="0067771F">
              <w:rPr>
                <w:rFonts w:ascii="Arial" w:hAnsi="Arial" w:cs="Arial"/>
                <w:b/>
                <w:bCs/>
                <w:noProof/>
                <w:sz w:val="18"/>
                <w:szCs w:val="18"/>
                <w:lang w:eastAsia="en-GB"/>
              </w:rPr>
              <w:t xml:space="preserve">  17</w:t>
            </w:r>
            <w:r>
              <w:rPr>
                <w:rFonts w:ascii="Arial" w:hAnsi="Arial" w:cs="Arial"/>
                <w:b/>
                <w:bCs/>
                <w:noProof/>
                <w:lang w:eastAsia="en-GB"/>
              </w:rPr>
              <w:t xml:space="preserve">   </w:t>
            </w:r>
            <w:r w:rsidR="00305CEF" w:rsidRPr="00305CEF">
              <w:rPr>
                <w:rFonts w:ascii="Arial" w:hAnsi="Arial" w:cs="Arial"/>
                <w:b/>
                <w:bCs/>
                <w:noProof/>
                <w:sz w:val="18"/>
                <w:szCs w:val="18"/>
                <w:lang w:eastAsia="en-GB"/>
              </w:rPr>
              <w:t>a.</w:t>
            </w:r>
            <w:r w:rsidRPr="00305CEF">
              <w:rPr>
                <w:rFonts w:ascii="Arial" w:hAnsi="Arial" w:cs="Arial"/>
                <w:b/>
                <w:bCs/>
                <w:noProof/>
                <w:sz w:val="18"/>
                <w:szCs w:val="18"/>
                <w:lang w:eastAsia="en-GB"/>
              </w:rPr>
              <w:t xml:space="preserve"> </w:t>
            </w:r>
            <w:r w:rsidR="00DC1614">
              <w:rPr>
                <w:rFonts w:ascii="Arial" w:hAnsi="Arial" w:cs="Arial"/>
                <w:b/>
                <w:bCs/>
                <w:noProof/>
                <w:sz w:val="18"/>
                <w:szCs w:val="18"/>
                <w:lang w:eastAsia="en-GB"/>
              </w:rPr>
              <w:t xml:space="preserve">  b. </w:t>
            </w:r>
            <w:r w:rsidRPr="00305CEF">
              <w:rPr>
                <w:rFonts w:ascii="Arial" w:hAnsi="Arial" w:cs="Arial"/>
                <w:b/>
                <w:bCs/>
                <w:noProof/>
                <w:sz w:val="18"/>
                <w:szCs w:val="18"/>
                <w:lang w:eastAsia="en-GB"/>
              </w:rPr>
              <w:t xml:space="preserve">   </w:t>
            </w:r>
            <w:r w:rsidRPr="008B73BD">
              <w:rPr>
                <w:rFonts w:asciiTheme="minorBidi" w:hAnsiTheme="minorBidi" w:cstheme="minorBidi"/>
                <w:color w:val="1C1E29"/>
                <w:sz w:val="18"/>
                <w:szCs w:val="18"/>
              </w:rPr>
              <w:t>On day 5, the four-hour tail-flick test in the morphine-treated group as compared with the sham group showed the antinociceptive effect of morphine within the first 60 minutes after injection. This effect gradually decreased from 60 min</w:t>
            </w:r>
            <w:r w:rsidRPr="00BF6F2D">
              <w:rPr>
                <w:rFonts w:asciiTheme="minorBidi" w:hAnsiTheme="minorBidi" w:cstheme="minorBidi"/>
                <w:color w:val="1C1E29"/>
                <w:sz w:val="18"/>
                <w:szCs w:val="18"/>
              </w:rPr>
              <w:t xml:space="preserve"> after injection to 120 min and continued decreasing until 240 min when it became similar to the sham group. The results of the same test showed that in the ineffective dose of co-administration of naloxone along with morphine up to day 5, the analgesic effect of morphine could be maintained for two hours, but after 120 minutes gradually decreased and became similar to the sham group (Figure 2).</w:t>
            </w:r>
          </w:p>
          <w:p w14:paraId="59D0534C" w14:textId="43DCBB44" w:rsidR="00FB06B6" w:rsidRDefault="00FB06B6" w:rsidP="00FB06B6">
            <w:pPr>
              <w:pStyle w:val="NormalWeb"/>
              <w:spacing w:before="0" w:beforeAutospacing="0" w:after="0" w:afterAutospacing="0"/>
              <w:jc w:val="both"/>
              <w:rPr>
                <w:rFonts w:asciiTheme="minorBidi" w:hAnsiTheme="minorBidi" w:cstheme="minorBidi"/>
                <w:color w:val="1C1E29"/>
                <w:sz w:val="18"/>
                <w:szCs w:val="18"/>
              </w:rPr>
            </w:pPr>
            <w:r w:rsidRPr="00BF6F2D">
              <w:rPr>
                <w:rFonts w:asciiTheme="minorBidi" w:hAnsiTheme="minorBidi" w:cstheme="minorBidi"/>
                <w:color w:val="1C1E29"/>
                <w:sz w:val="18"/>
                <w:szCs w:val="18"/>
              </w:rPr>
              <w:t>On day 8, the results of the tail-flick test in the morphine-treated group as compared to the sham group showed an analgesic effect within the first 30 minutes after injection. This effect gradually decreased from 30 min to 240 min when it approached the sham group. Results of the same test showed in the ineffective dose of co-administration of naloxone along with morphine up to day 8 that the antinociceptive effect of morphine was maintained for up to 240 minutes and was significant when compared to the sham and morphine groups (Figure 3).</w:t>
            </w:r>
          </w:p>
          <w:p w14:paraId="06090370" w14:textId="02C54727" w:rsidR="00FB06B6" w:rsidRDefault="003813DD" w:rsidP="00FB06B6">
            <w:pPr>
              <w:pStyle w:val="NormalWeb"/>
              <w:spacing w:before="0" w:beforeAutospacing="0" w:after="0" w:afterAutospacing="0"/>
              <w:jc w:val="both"/>
              <w:rPr>
                <w:rFonts w:asciiTheme="minorBidi" w:hAnsiTheme="minorBidi" w:cstheme="minorBidi"/>
                <w:color w:val="1C1E29"/>
                <w:sz w:val="18"/>
                <w:szCs w:val="18"/>
              </w:rPr>
            </w:pPr>
            <w:r w:rsidRPr="00BF6F2D">
              <w:rPr>
                <w:rFonts w:asciiTheme="minorBidi" w:hAnsiTheme="minorBidi" w:cstheme="minorBidi"/>
                <w:color w:val="1C1E29"/>
                <w:sz w:val="18"/>
                <w:szCs w:val="18"/>
              </w:rPr>
              <w:t>Eight consecutive days of morphine injection showed thermal hyperalgesia on day 10 (48 hours after the last morphine injection) and before drug injection. A withdrawal plantar test on day 10 showed significant hyperalgesia in the morphine group, but in the ineffective dose of co-administration of naloxone along with morphine group there was no significant paw withdrawal when compared to the sham group. The naloxone groups did not show any significant antinociceptive effect (Figure 4).</w:t>
            </w:r>
          </w:p>
          <w:p w14:paraId="65476627" w14:textId="22708E6E" w:rsidR="003813DD" w:rsidRPr="003813DD" w:rsidRDefault="003813DD" w:rsidP="003813DD">
            <w:pPr>
              <w:jc w:val="both"/>
              <w:rPr>
                <w:rFonts w:asciiTheme="minorBidi" w:eastAsia="Times New Roman" w:hAnsiTheme="minorBidi"/>
                <w:color w:val="1C1E29"/>
                <w:sz w:val="18"/>
                <w:szCs w:val="18"/>
              </w:rPr>
            </w:pPr>
            <w:r w:rsidRPr="00AB7587">
              <w:rPr>
                <w:rFonts w:asciiTheme="minorBidi" w:eastAsia="Times New Roman" w:hAnsiTheme="minorBidi"/>
                <w:color w:val="1C1E29"/>
                <w:sz w:val="18"/>
                <w:szCs w:val="18"/>
              </w:rPr>
              <w:t>Western blot analysis showed the administration of morphine for 8 consecutive days increased BDNF protein expression in spinal dorsal horn neurons on days 8 and 10. Co-administration of an ineffective dose of naloxone along with morphine decreased the BDNF expression. The decreased expression of BDNF on day 8 was greater than day 10. There were no significant changes in BDNF expression between the ineffective dose of naloxone and sham groups (Figure 5).</w:t>
            </w:r>
          </w:p>
          <w:p w14:paraId="65DF25B0" w14:textId="3CB5B86A" w:rsidR="003813DD" w:rsidRPr="00BF6F2D" w:rsidRDefault="003813DD" w:rsidP="00FB06B6">
            <w:pPr>
              <w:pStyle w:val="NormalWeb"/>
              <w:spacing w:before="0" w:beforeAutospacing="0" w:after="0" w:afterAutospacing="0"/>
              <w:jc w:val="both"/>
              <w:rPr>
                <w:rFonts w:asciiTheme="minorBidi" w:hAnsiTheme="minorBidi" w:cstheme="minorBidi"/>
                <w:color w:val="1C1E29"/>
                <w:sz w:val="18"/>
                <w:szCs w:val="18"/>
              </w:rPr>
            </w:pPr>
            <w:r w:rsidRPr="00AB7587">
              <w:rPr>
                <w:rFonts w:asciiTheme="minorBidi" w:hAnsiTheme="minorBidi" w:cstheme="minorBidi"/>
                <w:sz w:val="18"/>
                <w:szCs w:val="18"/>
              </w:rPr>
              <w:t>Immunohistochemical analysis of KCC2 in the lumbar section of the spinal cord following chronic administration of morphine for 8 consecutive days showed a significant decrease of KCC2 on day 8 (tolerance) and day 10 (hyperalgesia) when compared to the sham group. Co-administration of 10ng daily injection of naloxone along with morphine increased the expression of KCC2 in the spinal dorsal horn neurons on days 8 and 10 when compared to the sham group (Figure 6).</w:t>
            </w:r>
          </w:p>
          <w:p w14:paraId="2F0FFD7B" w14:textId="281870F7" w:rsidR="00282B0C" w:rsidRPr="00FB06B6" w:rsidRDefault="00282B0C" w:rsidP="00282B0C">
            <w:pPr>
              <w:autoSpaceDE w:val="0"/>
              <w:autoSpaceDN w:val="0"/>
              <w:adjustRightInd w:val="0"/>
              <w:spacing w:before="60" w:after="60"/>
              <w:ind w:left="227" w:hanging="227"/>
              <w:rPr>
                <w:rFonts w:ascii="Arial" w:hAnsi="Arial" w:cs="Arial"/>
                <w:b/>
                <w:bCs/>
                <w:sz w:val="18"/>
                <w:szCs w:val="18"/>
              </w:rPr>
            </w:pPr>
          </w:p>
        </w:tc>
        <w:tc>
          <w:tcPr>
            <w:tcW w:w="1440" w:type="dxa"/>
            <w:gridSpan w:val="2"/>
            <w:tcBorders>
              <w:top w:val="single" w:sz="8" w:space="0" w:color="92AD4F"/>
              <w:left w:val="single" w:sz="8" w:space="0" w:color="92AD4F"/>
              <w:bottom w:val="single" w:sz="8" w:space="0" w:color="642D5C"/>
            </w:tcBorders>
          </w:tcPr>
          <w:p w14:paraId="4639244D" w14:textId="433075FA" w:rsidR="00282B0C" w:rsidRDefault="00FB06B6" w:rsidP="00282B0C">
            <w:pPr>
              <w:autoSpaceDE w:val="0"/>
              <w:autoSpaceDN w:val="0"/>
              <w:adjustRightInd w:val="0"/>
              <w:spacing w:before="60" w:after="60"/>
              <w:rPr>
                <w:rFonts w:ascii="Arial" w:hAnsi="Arial" w:cs="Arial"/>
                <w:sz w:val="18"/>
                <w:szCs w:val="18"/>
              </w:rPr>
            </w:pPr>
            <w:r>
              <w:rPr>
                <w:rFonts w:ascii="Arial" w:hAnsi="Arial" w:cs="Arial"/>
                <w:sz w:val="18"/>
                <w:szCs w:val="18"/>
              </w:rPr>
              <w:t>Paragraph 2</w:t>
            </w:r>
            <w:r w:rsidR="003D7B62">
              <w:rPr>
                <w:rFonts w:ascii="Arial" w:hAnsi="Arial" w:cs="Arial"/>
                <w:sz w:val="18"/>
                <w:szCs w:val="18"/>
              </w:rPr>
              <w:t>-</w:t>
            </w:r>
            <w:r>
              <w:rPr>
                <w:rFonts w:ascii="Arial" w:hAnsi="Arial" w:cs="Arial"/>
                <w:sz w:val="18"/>
                <w:szCs w:val="18"/>
              </w:rPr>
              <w:t xml:space="preserve"> 3</w:t>
            </w:r>
          </w:p>
          <w:p w14:paraId="409E3310" w14:textId="77777777" w:rsidR="003813DD" w:rsidRDefault="003813DD" w:rsidP="00282B0C">
            <w:pPr>
              <w:autoSpaceDE w:val="0"/>
              <w:autoSpaceDN w:val="0"/>
              <w:adjustRightInd w:val="0"/>
              <w:spacing w:before="60" w:after="60"/>
              <w:rPr>
                <w:rFonts w:ascii="Arial" w:hAnsi="Arial" w:cs="Arial"/>
                <w:sz w:val="18"/>
                <w:szCs w:val="18"/>
              </w:rPr>
            </w:pPr>
          </w:p>
          <w:p w14:paraId="46209AC6" w14:textId="77777777" w:rsidR="003813DD" w:rsidRDefault="003813DD" w:rsidP="00282B0C">
            <w:pPr>
              <w:autoSpaceDE w:val="0"/>
              <w:autoSpaceDN w:val="0"/>
              <w:adjustRightInd w:val="0"/>
              <w:spacing w:before="60" w:after="60"/>
              <w:rPr>
                <w:rFonts w:ascii="Arial" w:hAnsi="Arial" w:cs="Arial"/>
                <w:sz w:val="18"/>
                <w:szCs w:val="18"/>
              </w:rPr>
            </w:pPr>
          </w:p>
          <w:p w14:paraId="506C14D3" w14:textId="77777777" w:rsidR="003813DD" w:rsidRDefault="003813DD" w:rsidP="00282B0C">
            <w:pPr>
              <w:autoSpaceDE w:val="0"/>
              <w:autoSpaceDN w:val="0"/>
              <w:adjustRightInd w:val="0"/>
              <w:spacing w:before="60" w:after="60"/>
              <w:rPr>
                <w:rFonts w:ascii="Arial" w:hAnsi="Arial" w:cs="Arial"/>
                <w:sz w:val="18"/>
                <w:szCs w:val="18"/>
              </w:rPr>
            </w:pPr>
          </w:p>
          <w:p w14:paraId="7085F622" w14:textId="77777777" w:rsidR="003813DD" w:rsidRDefault="003813DD" w:rsidP="00282B0C">
            <w:pPr>
              <w:autoSpaceDE w:val="0"/>
              <w:autoSpaceDN w:val="0"/>
              <w:adjustRightInd w:val="0"/>
              <w:spacing w:before="60" w:after="60"/>
              <w:rPr>
                <w:rFonts w:ascii="Arial" w:hAnsi="Arial" w:cs="Arial"/>
                <w:sz w:val="18"/>
                <w:szCs w:val="18"/>
              </w:rPr>
            </w:pPr>
          </w:p>
          <w:p w14:paraId="65C6E8BC" w14:textId="77777777" w:rsidR="003813DD" w:rsidRDefault="003813DD" w:rsidP="00282B0C">
            <w:pPr>
              <w:autoSpaceDE w:val="0"/>
              <w:autoSpaceDN w:val="0"/>
              <w:adjustRightInd w:val="0"/>
              <w:spacing w:before="60" w:after="60"/>
              <w:rPr>
                <w:rFonts w:ascii="Arial" w:hAnsi="Arial" w:cs="Arial"/>
                <w:sz w:val="18"/>
                <w:szCs w:val="18"/>
              </w:rPr>
            </w:pPr>
          </w:p>
          <w:p w14:paraId="6B7F38CE" w14:textId="77777777" w:rsidR="003813DD" w:rsidRDefault="003813DD" w:rsidP="00282B0C">
            <w:pPr>
              <w:autoSpaceDE w:val="0"/>
              <w:autoSpaceDN w:val="0"/>
              <w:adjustRightInd w:val="0"/>
              <w:spacing w:before="60" w:after="60"/>
              <w:rPr>
                <w:rFonts w:ascii="Arial" w:hAnsi="Arial" w:cs="Arial"/>
                <w:sz w:val="18"/>
                <w:szCs w:val="18"/>
              </w:rPr>
            </w:pPr>
          </w:p>
          <w:p w14:paraId="16A6FFBA" w14:textId="77777777" w:rsidR="003813DD" w:rsidRDefault="003813DD" w:rsidP="00282B0C">
            <w:pPr>
              <w:autoSpaceDE w:val="0"/>
              <w:autoSpaceDN w:val="0"/>
              <w:adjustRightInd w:val="0"/>
              <w:spacing w:before="60" w:after="60"/>
              <w:rPr>
                <w:rFonts w:ascii="Arial" w:hAnsi="Arial" w:cs="Arial"/>
                <w:sz w:val="18"/>
                <w:szCs w:val="18"/>
              </w:rPr>
            </w:pPr>
          </w:p>
          <w:p w14:paraId="550D445D" w14:textId="77777777" w:rsidR="003813DD" w:rsidRDefault="003813DD" w:rsidP="00282B0C">
            <w:pPr>
              <w:autoSpaceDE w:val="0"/>
              <w:autoSpaceDN w:val="0"/>
              <w:adjustRightInd w:val="0"/>
              <w:spacing w:before="60" w:after="60"/>
              <w:rPr>
                <w:rFonts w:ascii="Arial" w:hAnsi="Arial" w:cs="Arial"/>
                <w:sz w:val="18"/>
                <w:szCs w:val="18"/>
              </w:rPr>
            </w:pPr>
          </w:p>
          <w:p w14:paraId="3D107017" w14:textId="77777777" w:rsidR="003813DD" w:rsidRDefault="003813DD" w:rsidP="00282B0C">
            <w:pPr>
              <w:autoSpaceDE w:val="0"/>
              <w:autoSpaceDN w:val="0"/>
              <w:adjustRightInd w:val="0"/>
              <w:spacing w:before="60" w:after="60"/>
              <w:rPr>
                <w:rFonts w:ascii="Arial" w:hAnsi="Arial" w:cs="Arial"/>
                <w:sz w:val="18"/>
                <w:szCs w:val="18"/>
              </w:rPr>
            </w:pPr>
            <w:r>
              <w:rPr>
                <w:rFonts w:ascii="Arial" w:hAnsi="Arial" w:cs="Arial"/>
                <w:sz w:val="18"/>
                <w:szCs w:val="18"/>
              </w:rPr>
              <w:t>Paragraph 4</w:t>
            </w:r>
          </w:p>
          <w:p w14:paraId="01DF84D2" w14:textId="77777777" w:rsidR="003813DD" w:rsidRDefault="003813DD" w:rsidP="00282B0C">
            <w:pPr>
              <w:autoSpaceDE w:val="0"/>
              <w:autoSpaceDN w:val="0"/>
              <w:adjustRightInd w:val="0"/>
              <w:spacing w:before="60" w:after="60"/>
              <w:rPr>
                <w:rFonts w:ascii="Arial" w:hAnsi="Arial" w:cs="Arial"/>
                <w:sz w:val="18"/>
                <w:szCs w:val="18"/>
              </w:rPr>
            </w:pPr>
          </w:p>
          <w:p w14:paraId="00C6FCAD" w14:textId="77777777" w:rsidR="003813DD" w:rsidRDefault="003813DD" w:rsidP="00282B0C">
            <w:pPr>
              <w:autoSpaceDE w:val="0"/>
              <w:autoSpaceDN w:val="0"/>
              <w:adjustRightInd w:val="0"/>
              <w:spacing w:before="60" w:after="60"/>
              <w:rPr>
                <w:rFonts w:ascii="Arial" w:hAnsi="Arial" w:cs="Arial"/>
                <w:sz w:val="18"/>
                <w:szCs w:val="18"/>
              </w:rPr>
            </w:pPr>
          </w:p>
          <w:p w14:paraId="3B8E04CF" w14:textId="77777777" w:rsidR="003813DD" w:rsidRDefault="003813DD" w:rsidP="00282B0C">
            <w:pPr>
              <w:autoSpaceDE w:val="0"/>
              <w:autoSpaceDN w:val="0"/>
              <w:adjustRightInd w:val="0"/>
              <w:spacing w:before="60" w:after="60"/>
              <w:rPr>
                <w:rFonts w:ascii="Arial" w:hAnsi="Arial" w:cs="Arial"/>
                <w:sz w:val="18"/>
                <w:szCs w:val="18"/>
              </w:rPr>
            </w:pPr>
          </w:p>
          <w:p w14:paraId="0DEAC436" w14:textId="5C3245EF" w:rsidR="003813DD" w:rsidRDefault="003813DD" w:rsidP="00282B0C">
            <w:pPr>
              <w:autoSpaceDE w:val="0"/>
              <w:autoSpaceDN w:val="0"/>
              <w:adjustRightInd w:val="0"/>
              <w:spacing w:before="60" w:after="60"/>
              <w:rPr>
                <w:rFonts w:ascii="Arial" w:hAnsi="Arial" w:cs="Arial"/>
                <w:sz w:val="18"/>
                <w:szCs w:val="18"/>
              </w:rPr>
            </w:pPr>
            <w:r>
              <w:rPr>
                <w:rFonts w:ascii="Arial" w:hAnsi="Arial" w:cs="Arial"/>
                <w:sz w:val="18"/>
                <w:szCs w:val="18"/>
              </w:rPr>
              <w:t>Paragraph 5</w:t>
            </w:r>
          </w:p>
          <w:p w14:paraId="042F88BD" w14:textId="77777777" w:rsidR="003813DD" w:rsidRDefault="003813DD" w:rsidP="00282B0C">
            <w:pPr>
              <w:autoSpaceDE w:val="0"/>
              <w:autoSpaceDN w:val="0"/>
              <w:adjustRightInd w:val="0"/>
              <w:spacing w:before="60" w:after="60"/>
              <w:rPr>
                <w:rFonts w:ascii="Arial" w:hAnsi="Arial" w:cs="Arial"/>
                <w:sz w:val="18"/>
                <w:szCs w:val="18"/>
              </w:rPr>
            </w:pPr>
          </w:p>
          <w:p w14:paraId="6949555C" w14:textId="77777777" w:rsidR="003813DD" w:rsidRDefault="003813DD" w:rsidP="00282B0C">
            <w:pPr>
              <w:autoSpaceDE w:val="0"/>
              <w:autoSpaceDN w:val="0"/>
              <w:adjustRightInd w:val="0"/>
              <w:spacing w:before="60" w:after="60"/>
              <w:rPr>
                <w:rFonts w:ascii="Arial" w:hAnsi="Arial" w:cs="Arial"/>
                <w:sz w:val="18"/>
                <w:szCs w:val="18"/>
              </w:rPr>
            </w:pPr>
          </w:p>
          <w:p w14:paraId="2548B213" w14:textId="77777777" w:rsidR="003813DD" w:rsidRDefault="003813DD" w:rsidP="00282B0C">
            <w:pPr>
              <w:autoSpaceDE w:val="0"/>
              <w:autoSpaceDN w:val="0"/>
              <w:adjustRightInd w:val="0"/>
              <w:spacing w:before="60" w:after="60"/>
              <w:rPr>
                <w:rFonts w:ascii="Arial" w:hAnsi="Arial" w:cs="Arial"/>
                <w:sz w:val="18"/>
                <w:szCs w:val="18"/>
              </w:rPr>
            </w:pPr>
          </w:p>
          <w:p w14:paraId="137C23D0" w14:textId="352AC3F3" w:rsidR="003813DD" w:rsidRPr="00227F90" w:rsidRDefault="003813DD" w:rsidP="00282B0C">
            <w:pPr>
              <w:autoSpaceDE w:val="0"/>
              <w:autoSpaceDN w:val="0"/>
              <w:adjustRightInd w:val="0"/>
              <w:spacing w:before="60" w:after="60"/>
              <w:rPr>
                <w:rFonts w:ascii="Arial" w:hAnsi="Arial" w:cs="Arial"/>
                <w:sz w:val="18"/>
                <w:szCs w:val="18"/>
              </w:rPr>
            </w:pPr>
            <w:r>
              <w:rPr>
                <w:rFonts w:ascii="Arial" w:hAnsi="Arial" w:cs="Arial"/>
                <w:sz w:val="18"/>
                <w:szCs w:val="18"/>
              </w:rPr>
              <w:t>Paragraph 6</w:t>
            </w:r>
          </w:p>
        </w:tc>
      </w:tr>
      <w:tr w:rsidR="00282B0C" w:rsidRPr="00227F90" w14:paraId="476BB292" w14:textId="77777777" w:rsidTr="0067771F">
        <w:tc>
          <w:tcPr>
            <w:tcW w:w="9630" w:type="dxa"/>
            <w:tcBorders>
              <w:top w:val="single" w:sz="8" w:space="0" w:color="642D5C"/>
              <w:bottom w:val="single" w:sz="8" w:space="0" w:color="642D5C"/>
              <w:right w:val="single" w:sz="8" w:space="0" w:color="642D5C"/>
            </w:tcBorders>
            <w:shd w:val="clear" w:color="auto" w:fill="642D5C"/>
          </w:tcPr>
          <w:p w14:paraId="0F8BAB19" w14:textId="77777777" w:rsidR="00282B0C" w:rsidRPr="002C70B0" w:rsidRDefault="00282B0C" w:rsidP="00282B0C">
            <w:pPr>
              <w:autoSpaceDE w:val="0"/>
              <w:autoSpaceDN w:val="0"/>
              <w:adjustRightInd w:val="0"/>
              <w:spacing w:before="60" w:after="60"/>
              <w:rPr>
                <w:rFonts w:ascii="Arial" w:hAnsi="Arial" w:cs="Arial"/>
                <w:b/>
                <w:bCs/>
                <w:color w:val="FFFFFF" w:themeColor="background1"/>
                <w:sz w:val="18"/>
                <w:szCs w:val="18"/>
              </w:rPr>
            </w:pPr>
            <w:r w:rsidRPr="002C70B0">
              <w:rPr>
                <w:rFonts w:ascii="Arial" w:hAnsi="Arial" w:cs="Arial"/>
                <w:b/>
                <w:bCs/>
                <w:color w:val="FFFFFF" w:themeColor="background1"/>
                <w:sz w:val="18"/>
                <w:szCs w:val="18"/>
              </w:rPr>
              <w:t>DISCUSSION</w:t>
            </w:r>
          </w:p>
        </w:tc>
        <w:tc>
          <w:tcPr>
            <w:tcW w:w="1440" w:type="dxa"/>
            <w:gridSpan w:val="2"/>
            <w:tcBorders>
              <w:top w:val="single" w:sz="8" w:space="0" w:color="642D5C"/>
              <w:left w:val="single" w:sz="8" w:space="0" w:color="642D5C"/>
              <w:bottom w:val="single" w:sz="8" w:space="0" w:color="642D5C"/>
            </w:tcBorders>
            <w:shd w:val="clear" w:color="auto" w:fill="642D5C"/>
          </w:tcPr>
          <w:p w14:paraId="7C2F8E1C" w14:textId="77777777" w:rsidR="00282B0C" w:rsidRPr="00227F90" w:rsidRDefault="00282B0C" w:rsidP="00282B0C">
            <w:pPr>
              <w:autoSpaceDE w:val="0"/>
              <w:autoSpaceDN w:val="0"/>
              <w:adjustRightInd w:val="0"/>
              <w:spacing w:before="60" w:after="60"/>
              <w:rPr>
                <w:rFonts w:ascii="Arial" w:hAnsi="Arial" w:cs="Arial"/>
                <w:color w:val="FFFFFF" w:themeColor="background1"/>
                <w:sz w:val="18"/>
                <w:szCs w:val="18"/>
              </w:rPr>
            </w:pPr>
          </w:p>
        </w:tc>
      </w:tr>
      <w:tr w:rsidR="00282B0C" w:rsidRPr="00227F90" w14:paraId="5733FA78" w14:textId="77777777" w:rsidTr="0067771F">
        <w:tc>
          <w:tcPr>
            <w:tcW w:w="9630" w:type="dxa"/>
            <w:tcBorders>
              <w:top w:val="single" w:sz="8" w:space="0" w:color="642D5C"/>
              <w:bottom w:val="single" w:sz="8" w:space="0" w:color="642D5C"/>
              <w:right w:val="single" w:sz="8" w:space="0" w:color="642D5C"/>
            </w:tcBorders>
          </w:tcPr>
          <w:p w14:paraId="03AB55E6" w14:textId="16794ECB" w:rsidR="00DF3512" w:rsidRDefault="002C70B0" w:rsidP="00282B0C">
            <w:pPr>
              <w:autoSpaceDE w:val="0"/>
              <w:autoSpaceDN w:val="0"/>
              <w:adjustRightInd w:val="0"/>
              <w:spacing w:before="60" w:after="60"/>
              <w:ind w:left="227" w:hanging="227"/>
              <w:rPr>
                <w:rFonts w:ascii="Arial" w:hAnsi="Arial" w:cs="Arial"/>
                <w:b/>
                <w:bCs/>
                <w:noProof/>
                <w:sz w:val="18"/>
                <w:szCs w:val="18"/>
                <w:lang w:eastAsia="en-GB"/>
              </w:rPr>
            </w:pPr>
            <w:r w:rsidRPr="002C70B0">
              <w:rPr>
                <w:rFonts w:ascii="Arial" w:hAnsi="Arial" w:cs="Arial"/>
                <w:b/>
                <w:bCs/>
                <w:noProof/>
                <w:sz w:val="18"/>
                <w:szCs w:val="18"/>
                <w:lang w:eastAsia="en-GB"/>
              </w:rPr>
              <w:t>Interpritation</w:t>
            </w:r>
            <w:r w:rsidR="00983488">
              <w:rPr>
                <w:rFonts w:ascii="Arial" w:hAnsi="Arial" w:cs="Arial"/>
                <w:b/>
                <w:bCs/>
                <w:noProof/>
                <w:sz w:val="18"/>
                <w:szCs w:val="18"/>
                <w:lang w:eastAsia="en-GB"/>
              </w:rPr>
              <w:t>/</w:t>
            </w:r>
            <w:r w:rsidRPr="002C70B0">
              <w:rPr>
                <w:rFonts w:ascii="Arial" w:hAnsi="Arial" w:cs="Arial"/>
                <w:b/>
                <w:bCs/>
                <w:noProof/>
                <w:sz w:val="18"/>
                <w:szCs w:val="18"/>
                <w:lang w:eastAsia="en-GB"/>
              </w:rPr>
              <w:t xml:space="preserve"> </w:t>
            </w:r>
          </w:p>
          <w:p w14:paraId="2BA2ACDB" w14:textId="6EF30672" w:rsidR="0067771F" w:rsidRDefault="0067771F" w:rsidP="00282B0C">
            <w:pPr>
              <w:autoSpaceDE w:val="0"/>
              <w:autoSpaceDN w:val="0"/>
              <w:adjustRightInd w:val="0"/>
              <w:spacing w:before="60" w:after="60"/>
              <w:ind w:left="227" w:hanging="227"/>
              <w:rPr>
                <w:rFonts w:ascii="Arial" w:hAnsi="Arial" w:cs="Arial"/>
                <w:b/>
                <w:bCs/>
                <w:noProof/>
                <w:sz w:val="18"/>
                <w:szCs w:val="18"/>
                <w:lang w:eastAsia="en-GB"/>
              </w:rPr>
            </w:pPr>
            <w:r w:rsidRPr="002C70B0">
              <w:rPr>
                <w:rFonts w:ascii="Arial" w:hAnsi="Arial" w:cs="Arial"/>
                <w:b/>
                <w:bCs/>
                <w:noProof/>
                <w:sz w:val="18"/>
                <w:szCs w:val="18"/>
                <w:lang w:eastAsia="en-GB"/>
              </w:rPr>
              <w:t>S</w:t>
            </w:r>
            <w:r w:rsidR="002C70B0" w:rsidRPr="002C70B0">
              <w:rPr>
                <w:rFonts w:ascii="Arial" w:hAnsi="Arial" w:cs="Arial"/>
                <w:b/>
                <w:bCs/>
                <w:noProof/>
                <w:sz w:val="18"/>
                <w:szCs w:val="18"/>
                <w:lang w:eastAsia="en-GB"/>
              </w:rPr>
              <w:t>cientific</w:t>
            </w:r>
          </w:p>
          <w:p w14:paraId="26816B4C" w14:textId="1A7AFC56" w:rsidR="007569BD" w:rsidRPr="005228C7" w:rsidRDefault="002C70B0" w:rsidP="007569BD">
            <w:pPr>
              <w:jc w:val="both"/>
              <w:rPr>
                <w:rFonts w:asciiTheme="minorBidi" w:eastAsia="Times New Roman" w:hAnsiTheme="minorBidi"/>
                <w:color w:val="1C1E29"/>
                <w:sz w:val="18"/>
                <w:szCs w:val="18"/>
              </w:rPr>
            </w:pPr>
            <w:r w:rsidRPr="002C70B0">
              <w:rPr>
                <w:rFonts w:ascii="Arial" w:hAnsi="Arial" w:cs="Arial"/>
                <w:b/>
                <w:bCs/>
                <w:noProof/>
                <w:sz w:val="18"/>
                <w:szCs w:val="18"/>
                <w:lang w:eastAsia="en-GB"/>
              </w:rPr>
              <w:t xml:space="preserve"> implication   </w:t>
            </w:r>
            <w:r w:rsidR="0067771F">
              <w:rPr>
                <w:rFonts w:ascii="Arial" w:hAnsi="Arial" w:cs="Arial"/>
                <w:b/>
                <w:bCs/>
                <w:noProof/>
                <w:sz w:val="18"/>
                <w:szCs w:val="18"/>
                <w:lang w:eastAsia="en-GB"/>
              </w:rPr>
              <w:t xml:space="preserve">                           </w:t>
            </w:r>
            <w:r w:rsidRPr="002C70B0">
              <w:rPr>
                <w:rFonts w:ascii="Arial" w:hAnsi="Arial" w:cs="Arial"/>
                <w:b/>
                <w:bCs/>
                <w:noProof/>
                <w:sz w:val="18"/>
                <w:szCs w:val="18"/>
                <w:lang w:eastAsia="en-GB"/>
              </w:rPr>
              <w:t xml:space="preserve">        </w:t>
            </w:r>
            <w:r w:rsidR="0067771F">
              <w:rPr>
                <w:rFonts w:ascii="Arial" w:hAnsi="Arial" w:cs="Arial"/>
                <w:b/>
                <w:bCs/>
                <w:noProof/>
                <w:sz w:val="18"/>
                <w:szCs w:val="18"/>
                <w:lang w:eastAsia="en-GB"/>
              </w:rPr>
              <w:t xml:space="preserve">    </w:t>
            </w:r>
            <w:r w:rsidRPr="002C70B0">
              <w:rPr>
                <w:rFonts w:ascii="Arial" w:hAnsi="Arial" w:cs="Arial"/>
                <w:b/>
                <w:bCs/>
                <w:noProof/>
                <w:sz w:val="18"/>
                <w:szCs w:val="18"/>
                <w:lang w:eastAsia="en-GB"/>
              </w:rPr>
              <w:t>18</w:t>
            </w:r>
            <w:r w:rsidR="0067771F">
              <w:rPr>
                <w:rFonts w:ascii="Arial" w:hAnsi="Arial" w:cs="Arial"/>
                <w:b/>
                <w:bCs/>
                <w:noProof/>
                <w:sz w:val="18"/>
                <w:szCs w:val="18"/>
                <w:lang w:eastAsia="en-GB"/>
              </w:rPr>
              <w:t xml:space="preserve">          </w:t>
            </w:r>
            <w:r w:rsidR="007569BD">
              <w:rPr>
                <w:rFonts w:ascii="Arial" w:hAnsi="Arial" w:cs="Arial"/>
                <w:b/>
                <w:bCs/>
                <w:noProof/>
                <w:sz w:val="18"/>
                <w:szCs w:val="18"/>
                <w:lang w:eastAsia="en-GB"/>
              </w:rPr>
              <w:t xml:space="preserve">a.  </w:t>
            </w:r>
            <w:r w:rsidR="007569BD" w:rsidRPr="005228C7">
              <w:rPr>
                <w:rFonts w:asciiTheme="minorBidi" w:eastAsia="Times New Roman" w:hAnsiTheme="minorBidi"/>
                <w:color w:val="1C1E29"/>
                <w:sz w:val="18"/>
                <w:szCs w:val="18"/>
              </w:rPr>
              <w:t xml:space="preserve">Our study showed that intraperitoneal administration of morphine for 8 continuous days led to morphine antinociceptive tolerance and thermal hyperalgesia in rats. Coadministration of an ultra-low dose of naloxone along with morphine showed a controversial role intolerance. In other words, on the first day </w:t>
            </w:r>
            <w:r w:rsidR="007569BD" w:rsidRPr="005228C7">
              <w:rPr>
                <w:rFonts w:asciiTheme="minorBidi" w:eastAsia="Times New Roman" w:hAnsiTheme="minorBidi"/>
                <w:color w:val="1C1E29"/>
                <w:sz w:val="18"/>
                <w:szCs w:val="18"/>
              </w:rPr>
              <w:lastRenderedPageBreak/>
              <w:t xml:space="preserve">that morphine showed maximum antinociceptive effect naloxone didn’t have any effect, but gradually by the manifestation of tolerance and hyperalgesia, naloxone was able to improve and reduce tolerance and hyperalgesia by gradually manifesting them especially at day 8 and 10, respectively. It seems that naloxone had no </w:t>
            </w:r>
            <w:r w:rsidR="00983488" w:rsidRPr="005228C7">
              <w:rPr>
                <w:rFonts w:asciiTheme="minorBidi" w:eastAsia="Times New Roman" w:hAnsiTheme="minorBidi"/>
                <w:color w:val="1C1E29"/>
                <w:sz w:val="18"/>
                <w:szCs w:val="18"/>
              </w:rPr>
              <w:t>effect</w:t>
            </w:r>
            <w:r w:rsidR="007569BD" w:rsidRPr="005228C7">
              <w:rPr>
                <w:rFonts w:asciiTheme="minorBidi" w:eastAsia="Times New Roman" w:hAnsiTheme="minorBidi"/>
                <w:color w:val="1C1E29"/>
                <w:sz w:val="18"/>
                <w:szCs w:val="18"/>
              </w:rPr>
              <w:t xml:space="preserve"> until tolerance or hyperalgesia were established. Thus, our results showed the improving effects of coadministration of naloxone along with morphine but not alone. Our results were in agreement with previous studies. It has been previously demonstrated that chronic injection of intraperitoneal, subcutaneous, or intrathecal morphine produce tolerance and hyperalgesia </w:t>
            </w:r>
            <w:r w:rsidR="007569BD" w:rsidRPr="005228C7">
              <w:rPr>
                <w:rFonts w:asciiTheme="minorBidi" w:hAnsiTheme="minorBidi"/>
                <w:noProof/>
                <w:sz w:val="18"/>
                <w:szCs w:val="18"/>
              </w:rPr>
              <w:t>(15, 16)</w:t>
            </w:r>
            <w:r w:rsidR="007569BD" w:rsidRPr="005228C7">
              <w:rPr>
                <w:rFonts w:asciiTheme="minorBidi" w:eastAsia="Times New Roman" w:hAnsiTheme="minorBidi"/>
                <w:color w:val="1C1E29"/>
                <w:sz w:val="18"/>
                <w:szCs w:val="18"/>
              </w:rPr>
              <w:t xml:space="preserve">. However, the development of hyperalgesia depends on the duration and dose of morphine </w:t>
            </w:r>
            <w:r w:rsidR="007569BD" w:rsidRPr="005228C7">
              <w:rPr>
                <w:rFonts w:asciiTheme="minorBidi" w:hAnsiTheme="minorBidi"/>
                <w:noProof/>
                <w:color w:val="000000" w:themeColor="text1"/>
                <w:sz w:val="18"/>
                <w:szCs w:val="18"/>
              </w:rPr>
              <w:t>(17)</w:t>
            </w:r>
            <w:r w:rsidR="007569BD" w:rsidRPr="005228C7">
              <w:rPr>
                <w:rFonts w:asciiTheme="minorBidi" w:eastAsia="Times New Roman" w:hAnsiTheme="minorBidi"/>
                <w:color w:val="1C1E29"/>
                <w:sz w:val="18"/>
                <w:szCs w:val="18"/>
              </w:rPr>
              <w:t xml:space="preserve">. For example, King et al. (2005) showed that 6 days of SC. morphine administration via pellets created thermal hyperalgesia. In this regard, Hong et al. in 2010 and Powell et al. in 2000 showed a reduction in the analgesic effect of morphine and development of tolerance after 7 days of intrathecal continuous administration in animals </w:t>
            </w:r>
            <w:r w:rsidR="007569BD" w:rsidRPr="005228C7">
              <w:rPr>
                <w:rFonts w:asciiTheme="minorBidi" w:hAnsiTheme="minorBidi"/>
                <w:noProof/>
                <w:color w:val="000000" w:themeColor="text1"/>
                <w:sz w:val="18"/>
                <w:szCs w:val="18"/>
              </w:rPr>
              <w:t>(18, 19)</w:t>
            </w:r>
            <w:r w:rsidR="007569BD" w:rsidRPr="005228C7">
              <w:rPr>
                <w:rFonts w:asciiTheme="minorBidi" w:hAnsiTheme="minorBidi"/>
                <w:color w:val="000000" w:themeColor="text1"/>
                <w:sz w:val="18"/>
                <w:szCs w:val="18"/>
              </w:rPr>
              <w:t xml:space="preserve">. </w:t>
            </w:r>
            <w:r w:rsidR="007569BD" w:rsidRPr="005228C7">
              <w:rPr>
                <w:rFonts w:asciiTheme="minorBidi" w:eastAsia="Times New Roman" w:hAnsiTheme="minorBidi"/>
                <w:color w:val="1C1E29"/>
                <w:sz w:val="18"/>
                <w:szCs w:val="18"/>
              </w:rPr>
              <w:t xml:space="preserve">In contrast, Gu et al. (2005) showed that 6 days of i.t. chronic morphine infusion (40 nmol/µL/h) would not develop hyperalgesia </w:t>
            </w:r>
            <w:r w:rsidR="007569BD" w:rsidRPr="005228C7">
              <w:rPr>
                <w:rFonts w:asciiTheme="minorBidi" w:hAnsiTheme="minorBidi"/>
                <w:noProof/>
                <w:color w:val="000000" w:themeColor="text1"/>
                <w:sz w:val="18"/>
                <w:szCs w:val="18"/>
              </w:rPr>
              <w:t>(20)</w:t>
            </w:r>
            <w:r w:rsidR="007569BD" w:rsidRPr="005228C7">
              <w:rPr>
                <w:rFonts w:asciiTheme="minorBidi" w:eastAsia="Times New Roman" w:hAnsiTheme="minorBidi"/>
                <w:color w:val="1C1E29"/>
                <w:sz w:val="18"/>
                <w:szCs w:val="18"/>
              </w:rPr>
              <w:t>.</w:t>
            </w:r>
            <w:r w:rsidR="007569BD" w:rsidRPr="005228C7">
              <w:rPr>
                <w:rFonts w:asciiTheme="minorBidi" w:eastAsia="Times New Roman" w:hAnsiTheme="minorBidi"/>
                <w:b/>
                <w:bCs/>
                <w:color w:val="1C1E29"/>
                <w:sz w:val="18"/>
                <w:szCs w:val="18"/>
              </w:rPr>
              <w:t> </w:t>
            </w:r>
            <w:r w:rsidR="007569BD" w:rsidRPr="005228C7">
              <w:rPr>
                <w:rFonts w:asciiTheme="minorBidi" w:eastAsia="Times New Roman" w:hAnsiTheme="minorBidi"/>
                <w:color w:val="1C1E29"/>
                <w:sz w:val="18"/>
                <w:szCs w:val="18"/>
              </w:rPr>
              <w:t>In 2015</w:t>
            </w:r>
            <w:r w:rsidR="007569BD" w:rsidRPr="005228C7">
              <w:rPr>
                <w:rFonts w:asciiTheme="minorBidi" w:eastAsia="Times New Roman" w:hAnsiTheme="minorBidi"/>
                <w:b/>
                <w:bCs/>
                <w:color w:val="1C1E29"/>
                <w:sz w:val="18"/>
                <w:szCs w:val="18"/>
              </w:rPr>
              <w:t xml:space="preserve"> </w:t>
            </w:r>
            <w:proofErr w:type="spellStart"/>
            <w:r w:rsidR="007569BD" w:rsidRPr="005228C7">
              <w:rPr>
                <w:rFonts w:asciiTheme="minorBidi" w:eastAsia="Times New Roman" w:hAnsiTheme="minorBidi"/>
                <w:color w:val="1C1E29"/>
                <w:sz w:val="18"/>
                <w:szCs w:val="18"/>
              </w:rPr>
              <w:t>Zuo</w:t>
            </w:r>
            <w:proofErr w:type="spellEnd"/>
            <w:r w:rsidR="007569BD" w:rsidRPr="005228C7">
              <w:rPr>
                <w:rFonts w:asciiTheme="minorBidi" w:eastAsia="Times New Roman" w:hAnsiTheme="minorBidi"/>
                <w:color w:val="1C1E29"/>
                <w:sz w:val="18"/>
                <w:szCs w:val="18"/>
              </w:rPr>
              <w:t xml:space="preserve"> et al. observed mechanical and thermal hyperalgesia symptoms in animals after daily intraperitoneal injection of 10 mg/kg morphine </w:t>
            </w:r>
            <w:r w:rsidR="007569BD" w:rsidRPr="005228C7">
              <w:rPr>
                <w:rFonts w:asciiTheme="minorBidi" w:hAnsiTheme="minorBidi"/>
                <w:noProof/>
                <w:color w:val="000000" w:themeColor="text1"/>
                <w:sz w:val="18"/>
                <w:szCs w:val="18"/>
              </w:rPr>
              <w:t>(21)</w:t>
            </w:r>
            <w:r w:rsidR="007569BD" w:rsidRPr="005228C7">
              <w:rPr>
                <w:rFonts w:asciiTheme="minorBidi" w:eastAsia="Times New Roman" w:hAnsiTheme="minorBidi"/>
                <w:color w:val="1C1E29"/>
                <w:sz w:val="18"/>
                <w:szCs w:val="18"/>
              </w:rPr>
              <w:t xml:space="preserve">. Different studies have indicated that the co-administration of opioid antagonists can greatly prevent the side effects of long-term opioids administration. New studies have shown that opioid receptor antagonists, such as naloxone and naltrexone, have anti-inflammatory effects at ultra-low doses and can reduce or reverse the adverse effects of repeated opioid use </w:t>
            </w:r>
            <w:r w:rsidR="007569BD" w:rsidRPr="005228C7">
              <w:rPr>
                <w:rFonts w:asciiTheme="minorBidi" w:hAnsiTheme="minorBidi"/>
                <w:noProof/>
                <w:color w:val="000000" w:themeColor="text1"/>
                <w:sz w:val="18"/>
                <w:szCs w:val="18"/>
              </w:rPr>
              <w:t>(22)</w:t>
            </w:r>
            <w:r w:rsidR="007569BD" w:rsidRPr="005228C7">
              <w:rPr>
                <w:rFonts w:asciiTheme="minorBidi" w:eastAsia="Times New Roman" w:hAnsiTheme="minorBidi"/>
                <w:color w:val="1C1E29"/>
                <w:sz w:val="18"/>
                <w:szCs w:val="18"/>
              </w:rPr>
              <w:t xml:space="preserve">. In 1995 Crain showed that co-administration of a very low dose of naloxone along with morphine reduces tolerance and withdrawal syndrome </w:t>
            </w:r>
            <w:r w:rsidR="007569BD" w:rsidRPr="005228C7">
              <w:rPr>
                <w:rFonts w:asciiTheme="minorBidi" w:hAnsiTheme="minorBidi"/>
                <w:noProof/>
                <w:color w:val="000000" w:themeColor="text1"/>
                <w:sz w:val="18"/>
                <w:szCs w:val="18"/>
              </w:rPr>
              <w:t>(23)</w:t>
            </w:r>
            <w:r w:rsidR="007569BD" w:rsidRPr="005228C7">
              <w:rPr>
                <w:rFonts w:asciiTheme="minorBidi" w:eastAsia="Times New Roman" w:hAnsiTheme="minorBidi"/>
                <w:color w:val="1C1E29"/>
                <w:sz w:val="18"/>
                <w:szCs w:val="18"/>
              </w:rPr>
              <w:t xml:space="preserve">. In contrast, Wang et al. (2005) reported that the analgesic effects of co-administration of morphine and naloxone was reduced after 7 days. Similar to our results, they showed that naloxone alone was ineffective. Many pre-clinical studies have shown that an ultra-low dose of naloxone or naltrexone enhances the analgesic effects of opioids </w:t>
            </w:r>
            <w:r w:rsidR="007569BD" w:rsidRPr="005228C7">
              <w:rPr>
                <w:rFonts w:asciiTheme="minorBidi" w:hAnsiTheme="minorBidi"/>
                <w:noProof/>
                <w:color w:val="000000" w:themeColor="text1"/>
                <w:sz w:val="18"/>
                <w:szCs w:val="18"/>
              </w:rPr>
              <w:t>(11, 14)</w:t>
            </w:r>
            <w:r w:rsidR="007569BD" w:rsidRPr="005228C7">
              <w:rPr>
                <w:rFonts w:asciiTheme="minorBidi" w:eastAsia="Times New Roman" w:hAnsiTheme="minorBidi"/>
                <w:color w:val="1C1E29"/>
                <w:sz w:val="18"/>
                <w:szCs w:val="18"/>
              </w:rPr>
              <w:t>. In this study, we use an ultra-low dose of naloxone along with morphine and observed improving morphine antinociceptive effect.</w:t>
            </w:r>
          </w:p>
          <w:p w14:paraId="4DFE06A5" w14:textId="77777777" w:rsidR="007569BD" w:rsidRPr="005228C7" w:rsidRDefault="007569BD" w:rsidP="007569BD">
            <w:pPr>
              <w:jc w:val="both"/>
              <w:rPr>
                <w:rFonts w:asciiTheme="minorBidi" w:eastAsia="Times New Roman" w:hAnsiTheme="minorBidi"/>
                <w:color w:val="1C1E29"/>
                <w:sz w:val="18"/>
                <w:szCs w:val="18"/>
              </w:rPr>
            </w:pPr>
            <w:r w:rsidRPr="005228C7">
              <w:rPr>
                <w:rFonts w:asciiTheme="minorBidi" w:eastAsia="Times New Roman" w:hAnsiTheme="minorBidi"/>
                <w:color w:val="1C1E29"/>
                <w:sz w:val="18"/>
                <w:szCs w:val="18"/>
              </w:rPr>
              <w:t xml:space="preserve">Different mechanisms occur in neurons and glia that play an important role in this phenomenon. The molecular mechanisms underlying opioid tolerance and hyperalgesia is thought to overlap considerably with those involved in chronic pain </w:t>
            </w:r>
            <w:proofErr w:type="spellStart"/>
            <w:r w:rsidRPr="005228C7">
              <w:rPr>
                <w:rFonts w:asciiTheme="minorBidi" w:eastAsia="Times New Roman" w:hAnsiTheme="minorBidi"/>
                <w:color w:val="1C1E29"/>
                <w:sz w:val="18"/>
                <w:szCs w:val="18"/>
              </w:rPr>
              <w:t>signaling</w:t>
            </w:r>
            <w:proofErr w:type="spellEnd"/>
            <w:r w:rsidRPr="005228C7">
              <w:rPr>
                <w:rFonts w:asciiTheme="minorBidi" w:eastAsia="Times New Roman" w:hAnsiTheme="minorBidi"/>
                <w:color w:val="1C1E29"/>
                <w:sz w:val="18"/>
                <w:szCs w:val="18"/>
              </w:rPr>
              <w:t xml:space="preserve"> </w:t>
            </w:r>
            <w:r w:rsidRPr="005228C7">
              <w:rPr>
                <w:rFonts w:asciiTheme="minorBidi" w:hAnsiTheme="minorBidi"/>
                <w:noProof/>
                <w:sz w:val="18"/>
                <w:szCs w:val="18"/>
              </w:rPr>
              <w:t>(24)</w:t>
            </w:r>
            <w:r w:rsidRPr="005228C7">
              <w:rPr>
                <w:rFonts w:asciiTheme="minorBidi" w:eastAsia="Times New Roman" w:hAnsiTheme="minorBidi"/>
                <w:color w:val="1C1E29"/>
                <w:sz w:val="18"/>
                <w:szCs w:val="18"/>
              </w:rPr>
              <w:t xml:space="preserve">. Wang in 2005 reported that treatment with the same ultra-low dose of naloxone alone had no analgesic effect. Another finding of this study is that since the analgesic effects of opioids on receptors are inhibitory and chronic opioid administration switches G protein coupling from Gi/o to Gs, concomitant administration of an ultra-low dose of naloxone decrease Gs coupling and enhances Gi/o binding </w:t>
            </w:r>
            <w:r w:rsidRPr="005228C7">
              <w:rPr>
                <w:rFonts w:asciiTheme="minorBidi" w:hAnsiTheme="minorBidi"/>
                <w:noProof/>
                <w:sz w:val="18"/>
                <w:szCs w:val="18"/>
              </w:rPr>
              <w:t>(14, 25)</w:t>
            </w:r>
            <w:r w:rsidRPr="005228C7">
              <w:rPr>
                <w:rFonts w:asciiTheme="minorBidi" w:eastAsia="Times New Roman" w:hAnsiTheme="minorBidi"/>
                <w:color w:val="1C1E29"/>
                <w:sz w:val="18"/>
                <w:szCs w:val="18"/>
              </w:rPr>
              <w:t xml:space="preserve">. </w:t>
            </w:r>
            <w:bookmarkStart w:id="5" w:name="_Hlk32327989"/>
            <w:r w:rsidRPr="005228C7">
              <w:rPr>
                <w:rFonts w:asciiTheme="minorBidi" w:eastAsia="Times New Roman" w:hAnsiTheme="minorBidi"/>
                <w:color w:val="1C1E29"/>
                <w:sz w:val="18"/>
                <w:szCs w:val="18"/>
              </w:rPr>
              <w:t>The antinociceptive effects of ultra-low doses of naloxone (ng or pg.) or naltrexone are mediated by various mechanisms</w:t>
            </w:r>
            <w:bookmarkEnd w:id="5"/>
            <w:r w:rsidRPr="005228C7">
              <w:rPr>
                <w:rFonts w:asciiTheme="minorBidi" w:eastAsia="Times New Roman" w:hAnsiTheme="minorBidi"/>
                <w:color w:val="1C1E29"/>
                <w:sz w:val="18"/>
                <w:szCs w:val="18"/>
              </w:rPr>
              <w:t xml:space="preserve"> such as inhibition of opioid receptor </w:t>
            </w:r>
            <w:proofErr w:type="spellStart"/>
            <w:r w:rsidRPr="005228C7">
              <w:rPr>
                <w:rFonts w:asciiTheme="minorBidi" w:eastAsia="Times New Roman" w:hAnsiTheme="minorBidi"/>
                <w:color w:val="1C1E29"/>
                <w:sz w:val="18"/>
                <w:szCs w:val="18"/>
              </w:rPr>
              <w:t>signaling</w:t>
            </w:r>
            <w:proofErr w:type="spellEnd"/>
            <w:r w:rsidRPr="005228C7">
              <w:rPr>
                <w:rFonts w:asciiTheme="minorBidi" w:eastAsia="Times New Roman" w:hAnsiTheme="minorBidi"/>
                <w:color w:val="1C1E29"/>
                <w:sz w:val="18"/>
                <w:szCs w:val="18"/>
              </w:rPr>
              <w:t xml:space="preserve"> pathways in DRG neurons, the release of enkephalins, and neuro-inflammatory events triggered by microglia. Also, this dose of naloxone specifically antagonizes the coupling of opioid receptors to Gs proteins, adenylyl cyclase/Gβγ </w:t>
            </w:r>
            <w:proofErr w:type="spellStart"/>
            <w:r w:rsidRPr="005228C7">
              <w:rPr>
                <w:rFonts w:asciiTheme="minorBidi" w:eastAsia="Times New Roman" w:hAnsiTheme="minorBidi"/>
                <w:color w:val="1C1E29"/>
                <w:sz w:val="18"/>
                <w:szCs w:val="18"/>
              </w:rPr>
              <w:t>signaling</w:t>
            </w:r>
            <w:proofErr w:type="spellEnd"/>
            <w:r w:rsidRPr="005228C7">
              <w:rPr>
                <w:rFonts w:asciiTheme="minorBidi" w:eastAsia="Times New Roman" w:hAnsiTheme="minorBidi"/>
                <w:color w:val="1C1E29"/>
                <w:sz w:val="18"/>
                <w:szCs w:val="18"/>
              </w:rPr>
              <w:t xml:space="preserve">, and the pathway of excitatory signals in the spinal cord, and in turn, increases the tendency to pair with Gi/o thereby maintaining and enhancing morphine analgesia </w:t>
            </w:r>
            <w:r w:rsidRPr="005228C7">
              <w:rPr>
                <w:rFonts w:asciiTheme="minorBidi" w:hAnsiTheme="minorBidi"/>
                <w:noProof/>
                <w:sz w:val="18"/>
                <w:szCs w:val="18"/>
              </w:rPr>
              <w:t>(13, 23, 25, 26)</w:t>
            </w:r>
            <w:r w:rsidRPr="005228C7">
              <w:rPr>
                <w:rFonts w:asciiTheme="minorBidi" w:eastAsia="Times New Roman" w:hAnsiTheme="minorBidi"/>
                <w:color w:val="1C1E29"/>
                <w:sz w:val="18"/>
                <w:szCs w:val="18"/>
              </w:rPr>
              <w:t xml:space="preserve">. In subsequent studies in 2008 and 2009, Wang et al. stated that naloxone may bind to A filaments and prevent G protein switching from inhibitory to excitatory transcriptional pathways </w:t>
            </w:r>
            <w:r w:rsidRPr="005228C7">
              <w:rPr>
                <w:rFonts w:asciiTheme="minorBidi" w:hAnsiTheme="minorBidi"/>
                <w:noProof/>
                <w:sz w:val="18"/>
                <w:szCs w:val="18"/>
              </w:rPr>
              <w:t>(27-29)</w:t>
            </w:r>
            <w:r w:rsidRPr="005228C7">
              <w:rPr>
                <w:rFonts w:asciiTheme="minorBidi" w:eastAsia="Times New Roman" w:hAnsiTheme="minorBidi"/>
                <w:color w:val="1C1E29"/>
                <w:sz w:val="18"/>
                <w:szCs w:val="18"/>
              </w:rPr>
              <w:t>. </w:t>
            </w:r>
          </w:p>
          <w:p w14:paraId="2551BF16" w14:textId="77777777" w:rsidR="007569BD" w:rsidRPr="005228C7" w:rsidRDefault="007569BD" w:rsidP="007569BD">
            <w:pPr>
              <w:jc w:val="both"/>
              <w:rPr>
                <w:rFonts w:asciiTheme="minorBidi" w:eastAsia="Times New Roman" w:hAnsiTheme="minorBidi"/>
                <w:color w:val="1C1E29"/>
                <w:sz w:val="18"/>
                <w:szCs w:val="18"/>
              </w:rPr>
            </w:pPr>
            <w:r w:rsidRPr="005228C7">
              <w:rPr>
                <w:rFonts w:asciiTheme="minorBidi" w:eastAsia="Times New Roman" w:hAnsiTheme="minorBidi"/>
                <w:color w:val="1C1E29"/>
                <w:sz w:val="18"/>
                <w:szCs w:val="18"/>
              </w:rPr>
              <w:t>The results of molecular studies in hyperalgesia and tolerant animals showed that administration of morphine for 8 consecutive days resulted in increased expression of BDNF in spinal dorsal horn neurons. We also observed that daily injection of 15 ng of naloxone plus morphine prevented the increase in BDNF expression, and injection of naloxone at a very low dose without morphine did not affect BDNF expression. Studies have shown that continuous injection of morphine can increase spinal BDNF release, which is itself involved in the development of hyperalgesia. This is also due to the effect that BDNF exerts on neurons by binding to tyrosine kinase receptors (</w:t>
            </w:r>
            <w:proofErr w:type="spellStart"/>
            <w:r w:rsidRPr="005228C7">
              <w:rPr>
                <w:rFonts w:asciiTheme="minorBidi" w:eastAsia="Times New Roman" w:hAnsiTheme="minorBidi"/>
                <w:color w:val="1C1E29"/>
                <w:sz w:val="18"/>
                <w:szCs w:val="18"/>
              </w:rPr>
              <w:t>TrkB</w:t>
            </w:r>
            <w:proofErr w:type="spellEnd"/>
            <w:r w:rsidRPr="005228C7">
              <w:rPr>
                <w:rFonts w:asciiTheme="minorBidi" w:eastAsia="Times New Roman" w:hAnsiTheme="minorBidi"/>
                <w:color w:val="1C1E29"/>
                <w:sz w:val="18"/>
                <w:szCs w:val="18"/>
              </w:rPr>
              <w:t xml:space="preserve">) so that by inhibiting KCC2 cotransporter activity, it increases the accumulation of chlorine and potassium ions in the cell as well as sensitivity and excitability </w:t>
            </w:r>
            <w:r w:rsidRPr="005228C7">
              <w:rPr>
                <w:rFonts w:asciiTheme="minorBidi" w:hAnsiTheme="minorBidi"/>
                <w:noProof/>
                <w:sz w:val="18"/>
                <w:szCs w:val="18"/>
              </w:rPr>
              <w:t>(2, 3)</w:t>
            </w:r>
            <w:r w:rsidRPr="005228C7">
              <w:rPr>
                <w:rFonts w:asciiTheme="minorBidi" w:eastAsia="Times New Roman" w:hAnsiTheme="minorBidi"/>
                <w:color w:val="1C1E29"/>
                <w:sz w:val="18"/>
                <w:szCs w:val="18"/>
              </w:rPr>
              <w:t xml:space="preserve">. BDNF-induced hyperexcitability has been proposed to be partly due to the effects on GABAergic inhibition, </w:t>
            </w:r>
            <w:proofErr w:type="spellStart"/>
            <w:r w:rsidRPr="005228C7">
              <w:rPr>
                <w:rFonts w:asciiTheme="minorBidi" w:eastAsia="Times New Roman" w:hAnsiTheme="minorBidi"/>
                <w:color w:val="1C1E29"/>
                <w:sz w:val="18"/>
                <w:szCs w:val="18"/>
              </w:rPr>
              <w:t>Coull</w:t>
            </w:r>
            <w:proofErr w:type="spellEnd"/>
            <w:r w:rsidRPr="005228C7">
              <w:rPr>
                <w:rFonts w:asciiTheme="minorBidi" w:eastAsia="Times New Roman" w:hAnsiTheme="minorBidi"/>
                <w:color w:val="1C1E29"/>
                <w:sz w:val="18"/>
                <w:szCs w:val="18"/>
              </w:rPr>
              <w:t xml:space="preserve"> et al. (2005) showed that BDNF has decreased the paw withdrawal threshold and manifested hyperalgesia. In their in vivo study, they added BDNF to the dorsal horn neurons of the spinal cord and observed less negative potential than the control neurons, which could be indicating a shift from inhibitory to excitatory GABA responses </w:t>
            </w:r>
            <w:r w:rsidRPr="005228C7">
              <w:rPr>
                <w:rFonts w:asciiTheme="minorBidi" w:hAnsiTheme="minorBidi"/>
                <w:noProof/>
                <w:color w:val="000000" w:themeColor="text1"/>
                <w:sz w:val="18"/>
                <w:szCs w:val="18"/>
              </w:rPr>
              <w:t>(4)</w:t>
            </w:r>
            <w:r w:rsidRPr="005228C7">
              <w:rPr>
                <w:rFonts w:asciiTheme="minorBidi" w:eastAsia="Times New Roman" w:hAnsiTheme="minorBidi"/>
                <w:color w:val="1C1E29"/>
                <w:sz w:val="18"/>
                <w:szCs w:val="18"/>
              </w:rPr>
              <w:t>. In our belief, BDNF may have different roles during morphine administration rather than singular. Therefore, it is necessary to clearly understand the function of BDNF in morphine tolerance and OIH.</w:t>
            </w:r>
          </w:p>
          <w:p w14:paraId="4C1C6BFC" w14:textId="77777777" w:rsidR="007569BD" w:rsidRPr="005228C7" w:rsidRDefault="007569BD" w:rsidP="007569BD">
            <w:pPr>
              <w:jc w:val="both"/>
              <w:rPr>
                <w:rFonts w:asciiTheme="minorBidi" w:eastAsia="Times New Roman" w:hAnsiTheme="minorBidi"/>
                <w:color w:val="1C1E29"/>
                <w:sz w:val="18"/>
                <w:szCs w:val="18"/>
              </w:rPr>
            </w:pPr>
            <w:r w:rsidRPr="005228C7">
              <w:rPr>
                <w:rFonts w:asciiTheme="minorBidi" w:eastAsia="Times New Roman" w:hAnsiTheme="minorBidi"/>
                <w:color w:val="1C1E29"/>
                <w:sz w:val="18"/>
                <w:szCs w:val="18"/>
              </w:rPr>
              <w:t>In the second part of this study, we used immunohistochemistry to investigate the distribution of kCC2 cotransporter expression in the transverse section of the spinal cord.</w:t>
            </w:r>
          </w:p>
          <w:p w14:paraId="796776D7" w14:textId="77777777" w:rsidR="007569BD" w:rsidRPr="005228C7" w:rsidRDefault="007569BD" w:rsidP="007569BD">
            <w:pPr>
              <w:jc w:val="both"/>
              <w:rPr>
                <w:rFonts w:asciiTheme="minorBidi" w:eastAsia="Times New Roman" w:hAnsiTheme="minorBidi"/>
                <w:color w:val="1C1E29"/>
                <w:sz w:val="18"/>
                <w:szCs w:val="18"/>
              </w:rPr>
            </w:pPr>
            <w:r w:rsidRPr="005228C7">
              <w:rPr>
                <w:rFonts w:asciiTheme="minorBidi" w:eastAsia="Times New Roman" w:hAnsiTheme="minorBidi"/>
                <w:color w:val="1C1E29"/>
                <w:sz w:val="18"/>
                <w:szCs w:val="18"/>
              </w:rPr>
              <w:t xml:space="preserve">In the morphine group, the expression of kCC2 cotransporter showed a significant decrement. We also observed increased kCC2 cotransporter activity in the dorsal horn neurons compared to the morphine group in rats that received morphine plus an ultra-low dose of naloxone. There was no significant change in kCC2 expression in the ultra-low dose of naloxone saline group. As Kakazu stated in 2000 and </w:t>
            </w:r>
            <w:proofErr w:type="spellStart"/>
            <w:r w:rsidRPr="005228C7">
              <w:rPr>
                <w:rFonts w:asciiTheme="minorBidi" w:eastAsia="Times New Roman" w:hAnsiTheme="minorBidi"/>
                <w:color w:val="1C1E29"/>
                <w:sz w:val="18"/>
                <w:szCs w:val="18"/>
              </w:rPr>
              <w:t>Hubner</w:t>
            </w:r>
            <w:proofErr w:type="spellEnd"/>
            <w:r w:rsidRPr="005228C7">
              <w:rPr>
                <w:rFonts w:asciiTheme="minorBidi" w:eastAsia="Times New Roman" w:hAnsiTheme="minorBidi"/>
                <w:color w:val="1C1E29"/>
                <w:sz w:val="18"/>
                <w:szCs w:val="18"/>
              </w:rPr>
              <w:t xml:space="preserve"> in 2001, the maintenance of hyperpolarizing inotropic responses is dependent on kCC2 </w:t>
            </w:r>
            <w:r w:rsidRPr="005228C7">
              <w:rPr>
                <w:rFonts w:asciiTheme="minorBidi" w:hAnsiTheme="minorBidi"/>
                <w:noProof/>
                <w:sz w:val="18"/>
                <w:szCs w:val="18"/>
              </w:rPr>
              <w:t>(30, 31)</w:t>
            </w:r>
            <w:r w:rsidRPr="005228C7">
              <w:rPr>
                <w:rFonts w:asciiTheme="minorBidi" w:eastAsia="Times New Roman" w:hAnsiTheme="minorBidi"/>
                <w:color w:val="1C1E29"/>
                <w:sz w:val="18"/>
                <w:szCs w:val="18"/>
              </w:rPr>
              <w:t xml:space="preserve">. Rivera (1999) confirmed that kCC2 is the major extruder ion that triggers hyperpolarization postsynaptic inhibition in the CNS </w:t>
            </w:r>
            <w:r w:rsidRPr="005228C7">
              <w:rPr>
                <w:rFonts w:asciiTheme="minorBidi" w:hAnsiTheme="minorBidi"/>
                <w:noProof/>
                <w:sz w:val="18"/>
                <w:szCs w:val="18"/>
              </w:rPr>
              <w:t>(6)</w:t>
            </w:r>
            <w:r w:rsidRPr="005228C7">
              <w:rPr>
                <w:rFonts w:asciiTheme="minorBidi" w:eastAsia="Times New Roman" w:hAnsiTheme="minorBidi"/>
                <w:color w:val="1C1E29"/>
                <w:sz w:val="18"/>
                <w:szCs w:val="18"/>
              </w:rPr>
              <w:t xml:space="preserve">. Therefore, any dysfunction of this cotransporter results in the accumulation of chloride ions inside the cell, due to the increase of chloride ions inside the cell, causes GABAergic receptors to shift from inhibitory to excitatory. All of these conditions can lead to hyperalgesia </w:t>
            </w:r>
            <w:proofErr w:type="spellStart"/>
            <w:r w:rsidRPr="005228C7">
              <w:rPr>
                <w:rFonts w:asciiTheme="minorBidi" w:eastAsia="Times New Roman" w:hAnsiTheme="minorBidi"/>
                <w:color w:val="1C1E29"/>
                <w:sz w:val="18"/>
                <w:szCs w:val="18"/>
              </w:rPr>
              <w:t>behavior</w:t>
            </w:r>
            <w:proofErr w:type="spellEnd"/>
            <w:r w:rsidRPr="005228C7">
              <w:rPr>
                <w:rFonts w:asciiTheme="minorBidi" w:eastAsia="Times New Roman" w:hAnsiTheme="minorBidi"/>
                <w:color w:val="1C1E29"/>
                <w:sz w:val="18"/>
                <w:szCs w:val="18"/>
              </w:rPr>
              <w:t xml:space="preserve"> in animals. </w:t>
            </w:r>
          </w:p>
          <w:p w14:paraId="1146FD36" w14:textId="77777777" w:rsidR="007569BD" w:rsidRPr="005228C7" w:rsidRDefault="007569BD" w:rsidP="007569BD">
            <w:pPr>
              <w:jc w:val="both"/>
              <w:rPr>
                <w:rFonts w:asciiTheme="minorBidi" w:eastAsia="Times New Roman" w:hAnsiTheme="minorBidi"/>
                <w:color w:val="1C1E29"/>
                <w:sz w:val="18"/>
                <w:szCs w:val="18"/>
              </w:rPr>
            </w:pPr>
            <w:r w:rsidRPr="005228C7">
              <w:rPr>
                <w:rFonts w:asciiTheme="minorBidi" w:eastAsia="Times New Roman" w:hAnsiTheme="minorBidi"/>
                <w:color w:val="1C1E29"/>
                <w:sz w:val="18"/>
                <w:szCs w:val="18"/>
              </w:rPr>
              <w:t xml:space="preserve">Rivera et al. (2002) showed that following the addition of BDNF to the culture medium, the expression intensity of KCC2 decreased, which subsequently affected neuronal chloride flow. They presented evidence that BDNF regulates KCC2 downregulation and disruption of chlorine flow by acting on the </w:t>
            </w:r>
            <w:proofErr w:type="spellStart"/>
            <w:r w:rsidRPr="005228C7">
              <w:rPr>
                <w:rFonts w:asciiTheme="minorBidi" w:eastAsia="Times New Roman" w:hAnsiTheme="minorBidi"/>
                <w:color w:val="1C1E29"/>
                <w:sz w:val="18"/>
                <w:szCs w:val="18"/>
              </w:rPr>
              <w:t>TrkB</w:t>
            </w:r>
            <w:proofErr w:type="spellEnd"/>
            <w:r w:rsidRPr="005228C7">
              <w:rPr>
                <w:rFonts w:asciiTheme="minorBidi" w:eastAsia="Times New Roman" w:hAnsiTheme="minorBidi"/>
                <w:color w:val="1C1E29"/>
                <w:sz w:val="18"/>
                <w:szCs w:val="18"/>
              </w:rPr>
              <w:t xml:space="preserve"> receptor </w:t>
            </w:r>
            <w:r w:rsidRPr="005228C7">
              <w:rPr>
                <w:rFonts w:asciiTheme="minorBidi" w:hAnsiTheme="minorBidi"/>
                <w:noProof/>
                <w:sz w:val="18"/>
                <w:szCs w:val="18"/>
              </w:rPr>
              <w:t>(7)</w:t>
            </w:r>
            <w:r w:rsidRPr="005228C7">
              <w:rPr>
                <w:rFonts w:asciiTheme="minorBidi" w:eastAsia="Times New Roman" w:hAnsiTheme="minorBidi"/>
                <w:color w:val="1C1E29"/>
                <w:sz w:val="18"/>
                <w:szCs w:val="18"/>
              </w:rPr>
              <w:t>. </w:t>
            </w:r>
          </w:p>
          <w:p w14:paraId="6B6CB1B1" w14:textId="77777777" w:rsidR="007569BD" w:rsidRPr="005228C7" w:rsidRDefault="007569BD" w:rsidP="007569BD">
            <w:pPr>
              <w:jc w:val="both"/>
              <w:rPr>
                <w:rFonts w:asciiTheme="minorBidi" w:eastAsia="Times New Roman" w:hAnsiTheme="minorBidi"/>
                <w:color w:val="1C1E29"/>
                <w:sz w:val="18"/>
                <w:szCs w:val="18"/>
              </w:rPr>
            </w:pPr>
            <w:r w:rsidRPr="005228C7">
              <w:rPr>
                <w:rFonts w:asciiTheme="minorBidi" w:eastAsia="Times New Roman" w:hAnsiTheme="minorBidi"/>
                <w:color w:val="1C1E29"/>
                <w:sz w:val="18"/>
                <w:szCs w:val="18"/>
              </w:rPr>
              <w:t xml:space="preserve">In a clinical trial on patients undergoing colorectal surgery in 2015, Xiao et al. showed that the combination of an ultra-low dose of naloxone (0.25 </w:t>
            </w:r>
            <w:proofErr w:type="spellStart"/>
            <w:r w:rsidRPr="005228C7">
              <w:rPr>
                <w:rFonts w:asciiTheme="minorBidi" w:eastAsia="Times New Roman" w:hAnsiTheme="minorBidi"/>
                <w:color w:val="1C1E29"/>
                <w:sz w:val="18"/>
                <w:szCs w:val="18"/>
              </w:rPr>
              <w:t>μg</w:t>
            </w:r>
            <w:proofErr w:type="spellEnd"/>
            <w:r w:rsidRPr="005228C7">
              <w:rPr>
                <w:rFonts w:asciiTheme="minorBidi" w:eastAsia="Times New Roman" w:hAnsiTheme="minorBidi"/>
                <w:color w:val="1C1E29"/>
                <w:sz w:val="18"/>
                <w:szCs w:val="18"/>
              </w:rPr>
              <w:t xml:space="preserve">/kg/h) with remifentanil decreased the adverse effects of acute morphine administration, tolerance, postoperative pain scores, bowel function recovery time, and length of hospital stay </w:t>
            </w:r>
            <w:r w:rsidRPr="005228C7">
              <w:rPr>
                <w:rFonts w:asciiTheme="minorBidi" w:hAnsiTheme="minorBidi"/>
                <w:noProof/>
                <w:color w:val="000000" w:themeColor="text1"/>
                <w:sz w:val="18"/>
                <w:szCs w:val="18"/>
              </w:rPr>
              <w:t>(32)</w:t>
            </w:r>
            <w:r w:rsidRPr="005228C7">
              <w:rPr>
                <w:rFonts w:asciiTheme="minorBidi" w:eastAsia="Times New Roman" w:hAnsiTheme="minorBidi"/>
                <w:color w:val="1C1E29"/>
                <w:sz w:val="18"/>
                <w:szCs w:val="18"/>
              </w:rPr>
              <w:t xml:space="preserve">. Another clinical trial in 2019 on thoracotomy patients receiving bupivacaine and naloxone (100 ng) compared to bupivacaine alone showed significantly longer postoperative pain relief </w:t>
            </w:r>
            <w:r w:rsidRPr="005228C7">
              <w:rPr>
                <w:rFonts w:asciiTheme="minorBidi" w:hAnsiTheme="minorBidi"/>
                <w:noProof/>
                <w:sz w:val="18"/>
                <w:szCs w:val="18"/>
              </w:rPr>
              <w:t>(33)</w:t>
            </w:r>
            <w:r w:rsidRPr="005228C7">
              <w:rPr>
                <w:rFonts w:asciiTheme="minorBidi" w:eastAsia="Times New Roman" w:hAnsiTheme="minorBidi"/>
                <w:color w:val="1C1E29"/>
                <w:sz w:val="18"/>
                <w:szCs w:val="18"/>
              </w:rPr>
              <w:t xml:space="preserve">. In contrast, a study by </w:t>
            </w:r>
            <w:proofErr w:type="spellStart"/>
            <w:r w:rsidRPr="005228C7">
              <w:rPr>
                <w:rFonts w:asciiTheme="minorBidi" w:eastAsia="Times New Roman" w:hAnsiTheme="minorBidi"/>
                <w:color w:val="1C1E29"/>
                <w:sz w:val="18"/>
                <w:szCs w:val="18"/>
              </w:rPr>
              <w:t>Hosseininejad</w:t>
            </w:r>
            <w:proofErr w:type="spellEnd"/>
            <w:r w:rsidRPr="005228C7">
              <w:rPr>
                <w:rFonts w:asciiTheme="minorBidi" w:eastAsia="Times New Roman" w:hAnsiTheme="minorBidi"/>
                <w:color w:val="1C1E29"/>
                <w:sz w:val="18"/>
                <w:szCs w:val="18"/>
              </w:rPr>
              <w:t xml:space="preserve"> et al. in 2019 on renal colic patients did not report a significant analgesic effect between the group receiving naloxone (0.001 mg/kg IV.) plus morphine (0.1 mg/kg) with the group receiving only morphine </w:t>
            </w:r>
            <w:r w:rsidRPr="005228C7">
              <w:rPr>
                <w:rFonts w:asciiTheme="minorBidi" w:hAnsiTheme="minorBidi"/>
                <w:noProof/>
                <w:sz w:val="18"/>
                <w:szCs w:val="18"/>
              </w:rPr>
              <w:t>(34)</w:t>
            </w:r>
            <w:r w:rsidRPr="005228C7">
              <w:rPr>
                <w:rFonts w:asciiTheme="minorBidi" w:eastAsia="Times New Roman" w:hAnsiTheme="minorBidi"/>
                <w:color w:val="1C1E29"/>
                <w:sz w:val="18"/>
                <w:szCs w:val="18"/>
              </w:rPr>
              <w:t>. We suggest that the simultaneous administration of an ultra-low dose of naloxone affects the expression and secretion of BDNF and KCC2 regulation and consequently reduces the tolerance and hyperalgesia induced by chronic morphine administration.</w:t>
            </w:r>
          </w:p>
          <w:p w14:paraId="43E9D287" w14:textId="77777777" w:rsidR="007569BD" w:rsidRPr="005228C7" w:rsidRDefault="007569BD" w:rsidP="007569BD">
            <w:pPr>
              <w:jc w:val="both"/>
              <w:rPr>
                <w:rFonts w:asciiTheme="minorBidi" w:eastAsia="Times New Roman" w:hAnsiTheme="minorBidi"/>
                <w:color w:val="1C1E29"/>
                <w:sz w:val="18"/>
                <w:szCs w:val="18"/>
              </w:rPr>
            </w:pPr>
            <w:r w:rsidRPr="005228C7">
              <w:rPr>
                <w:rFonts w:asciiTheme="minorBidi" w:eastAsia="Times New Roman" w:hAnsiTheme="minorBidi"/>
                <w:color w:val="1C1E29"/>
                <w:sz w:val="18"/>
                <w:szCs w:val="18"/>
              </w:rPr>
              <w:t xml:space="preserve">Since opioid receptors mediate the inhibition of adenylyl cyclase, and an ultra-low dose of naloxone antagonize excitatory functions opioid receptors through G protein binding, this pathway is likely to be involved </w:t>
            </w:r>
            <w:r w:rsidRPr="005228C7">
              <w:rPr>
                <w:rFonts w:asciiTheme="minorBidi" w:hAnsiTheme="minorBidi"/>
                <w:noProof/>
                <w:sz w:val="18"/>
                <w:szCs w:val="18"/>
              </w:rPr>
              <w:t>(35)</w:t>
            </w:r>
            <w:r w:rsidRPr="005228C7">
              <w:rPr>
                <w:rFonts w:asciiTheme="minorBidi" w:eastAsia="Times New Roman" w:hAnsiTheme="minorBidi"/>
                <w:color w:val="1C1E29"/>
                <w:sz w:val="18"/>
                <w:szCs w:val="18"/>
              </w:rPr>
              <w:t xml:space="preserve">. Also, there is a direct relationship between BDNF increasing and KCC2 decreasing </w:t>
            </w:r>
            <w:r w:rsidRPr="005228C7">
              <w:rPr>
                <w:rFonts w:asciiTheme="minorBidi" w:hAnsiTheme="minorBidi"/>
                <w:noProof/>
                <w:color w:val="000000" w:themeColor="text1"/>
                <w:sz w:val="18"/>
                <w:szCs w:val="18"/>
                <w:lang w:bidi="fa-IR"/>
              </w:rPr>
              <w:t>(7)</w:t>
            </w:r>
            <w:r w:rsidRPr="005228C7">
              <w:rPr>
                <w:rFonts w:asciiTheme="minorBidi" w:eastAsia="Times New Roman" w:hAnsiTheme="minorBidi"/>
                <w:color w:val="1C1E29"/>
                <w:sz w:val="18"/>
                <w:szCs w:val="18"/>
              </w:rPr>
              <w:t xml:space="preserve">, since naloxone in ultra-low-dose has an anti-inflammatory effect </w:t>
            </w:r>
            <w:r w:rsidRPr="005228C7">
              <w:rPr>
                <w:rFonts w:asciiTheme="minorBidi" w:hAnsiTheme="minorBidi"/>
                <w:noProof/>
                <w:color w:val="000000" w:themeColor="text1"/>
                <w:sz w:val="18"/>
                <w:szCs w:val="18"/>
                <w:lang w:bidi="fa-IR"/>
              </w:rPr>
              <w:t>(22, 36, 37)</w:t>
            </w:r>
            <w:r w:rsidRPr="005228C7">
              <w:rPr>
                <w:rFonts w:asciiTheme="minorBidi" w:eastAsia="Times New Roman" w:hAnsiTheme="minorBidi"/>
                <w:color w:val="1C1E29"/>
                <w:sz w:val="18"/>
                <w:szCs w:val="18"/>
              </w:rPr>
              <w:t xml:space="preserve">. Therefore, it is hypothesized that this secondary drug can reduce BDNF secretion and </w:t>
            </w:r>
            <w:r w:rsidRPr="005228C7">
              <w:rPr>
                <w:rFonts w:asciiTheme="minorBidi" w:eastAsia="Times New Roman" w:hAnsiTheme="minorBidi"/>
                <w:color w:val="1C1E29"/>
                <w:sz w:val="18"/>
                <w:szCs w:val="18"/>
              </w:rPr>
              <w:lastRenderedPageBreak/>
              <w:t xml:space="preserve">subsequently prevent the downregulation of KCC2, thereby reducing the tolerance and hyperalgesia induced by long-term use of morphine. Equivalent inhibition of the Gs coupling of CREB phosphorylation by naloxone and its binding to pentapeptide filament A seems to be the mechanism of action of a very low dose of naloxone or naltrexone </w:t>
            </w:r>
            <w:r w:rsidRPr="005228C7">
              <w:rPr>
                <w:rFonts w:asciiTheme="minorBidi" w:hAnsiTheme="minorBidi"/>
                <w:noProof/>
                <w:color w:val="000000" w:themeColor="text1"/>
                <w:sz w:val="18"/>
                <w:szCs w:val="18"/>
                <w:lang w:bidi="fa-IR"/>
              </w:rPr>
              <w:t>(27-29)</w:t>
            </w:r>
            <w:r w:rsidRPr="005228C7">
              <w:rPr>
                <w:rFonts w:asciiTheme="minorBidi" w:eastAsia="Times New Roman" w:hAnsiTheme="minorBidi"/>
                <w:color w:val="1C1E29"/>
                <w:sz w:val="18"/>
                <w:szCs w:val="18"/>
              </w:rPr>
              <w:t>. </w:t>
            </w:r>
          </w:p>
          <w:p w14:paraId="52505C5A" w14:textId="77777777" w:rsidR="007569BD" w:rsidRDefault="007569BD" w:rsidP="007569BD">
            <w:pPr>
              <w:jc w:val="both"/>
              <w:rPr>
                <w:rFonts w:asciiTheme="minorBidi" w:eastAsia="Times New Roman" w:hAnsiTheme="minorBidi"/>
                <w:color w:val="1C1E29"/>
                <w:sz w:val="18"/>
                <w:szCs w:val="18"/>
              </w:rPr>
            </w:pPr>
            <w:r w:rsidRPr="005228C7">
              <w:rPr>
                <w:rFonts w:asciiTheme="minorBidi" w:eastAsia="Times New Roman" w:hAnsiTheme="minorBidi"/>
                <w:color w:val="1C1E29"/>
                <w:sz w:val="18"/>
                <w:szCs w:val="18"/>
              </w:rPr>
              <w:t xml:space="preserve">According to the mentioned studies and our results, there seems to be a strong relationship between the activity of BDNF expression and downregulation of KCC2 cotransporter during chronic morphine administration and neuroinflammation. Since the use of naloxone at very low doses along with morphine has an anti-inflammatory effect and can decrease microglial activity </w:t>
            </w:r>
            <w:r w:rsidRPr="005228C7">
              <w:rPr>
                <w:rFonts w:asciiTheme="minorBidi" w:hAnsiTheme="minorBidi"/>
                <w:noProof/>
                <w:sz w:val="18"/>
                <w:szCs w:val="18"/>
              </w:rPr>
              <w:t>(7, 36)</w:t>
            </w:r>
            <w:r w:rsidRPr="005228C7">
              <w:rPr>
                <w:rFonts w:asciiTheme="minorBidi" w:eastAsia="Times New Roman" w:hAnsiTheme="minorBidi"/>
                <w:color w:val="1C1E29"/>
                <w:sz w:val="18"/>
                <w:szCs w:val="18"/>
              </w:rPr>
              <w:t>, we hypothesize that a ULD of naloxone may affect BDNF, decreasing secretion and subsequently prevent KCC2 downregulation, and thereby prevent the tolerance and hyperalgesia induced by long-term use of morphine. Considering that BDNF increased in morphine treated rats, and the ability of ultra-low dose of naloxone along with morphine to block the rise in BDNF expression, it is clear that decreased BDNF expression plays an important role in modulating KCC2 activity. Increased BDNF expression, in turn, leads to more alterations in nerve cell membranes that could eventually lead to the development of OIH and tolerance.</w:t>
            </w:r>
          </w:p>
          <w:p w14:paraId="7C3E6F5D" w14:textId="44F960C2" w:rsidR="007569BD" w:rsidRPr="005228C7" w:rsidRDefault="007569BD" w:rsidP="007569BD">
            <w:pPr>
              <w:jc w:val="both"/>
              <w:rPr>
                <w:rFonts w:asciiTheme="minorBidi" w:eastAsia="Times New Roman" w:hAnsiTheme="minorBidi"/>
                <w:color w:val="1C1E29"/>
                <w:sz w:val="18"/>
                <w:szCs w:val="18"/>
              </w:rPr>
            </w:pPr>
            <w:r>
              <w:rPr>
                <w:rFonts w:asciiTheme="minorBidi" w:eastAsia="Times New Roman" w:hAnsiTheme="minorBidi"/>
                <w:b/>
                <w:bCs/>
                <w:color w:val="1C1E29"/>
                <w:sz w:val="18"/>
                <w:szCs w:val="18"/>
              </w:rPr>
              <w:t xml:space="preserve">                                                                       </w:t>
            </w:r>
            <w:r w:rsidRPr="007569BD">
              <w:rPr>
                <w:rFonts w:asciiTheme="minorBidi" w:eastAsia="Times New Roman" w:hAnsiTheme="minorBidi"/>
                <w:b/>
                <w:bCs/>
                <w:color w:val="1C1E29"/>
                <w:sz w:val="18"/>
                <w:szCs w:val="18"/>
              </w:rPr>
              <w:t>b.</w:t>
            </w:r>
            <w:r w:rsidRPr="005228C7">
              <w:rPr>
                <w:rFonts w:asciiTheme="minorBidi" w:eastAsia="Times New Roman" w:hAnsiTheme="minorBidi"/>
                <w:color w:val="1C1E29"/>
                <w:sz w:val="18"/>
                <w:szCs w:val="18"/>
              </w:rPr>
              <w:t xml:space="preserve"> Although it seems that ULD of naloxone affects BDNF, decreasing secretion and subsequently prevent KCC2 downregulation and could improve the analgesic effect of morphine, it should be noted the effects of ultra-low doses of naloxone are mediated by various mechanisms.</w:t>
            </w:r>
          </w:p>
          <w:p w14:paraId="67FAE66A" w14:textId="2AF5B5F1" w:rsidR="007569BD" w:rsidRPr="005228C7" w:rsidRDefault="00983488" w:rsidP="007569BD">
            <w:pPr>
              <w:autoSpaceDE w:val="0"/>
              <w:autoSpaceDN w:val="0"/>
              <w:adjustRightInd w:val="0"/>
              <w:jc w:val="both"/>
              <w:rPr>
                <w:rFonts w:asciiTheme="minorBidi" w:eastAsia="Times New Roman" w:hAnsiTheme="minorBidi"/>
                <w:color w:val="1C1E29"/>
                <w:sz w:val="18"/>
                <w:szCs w:val="18"/>
              </w:rPr>
            </w:pPr>
            <w:r>
              <w:rPr>
                <w:rFonts w:asciiTheme="minorBidi" w:eastAsia="Times New Roman" w:hAnsiTheme="minorBidi"/>
                <w:b/>
                <w:bCs/>
                <w:color w:val="1C1E29"/>
                <w:sz w:val="18"/>
                <w:szCs w:val="18"/>
              </w:rPr>
              <w:t xml:space="preserve">                                                                        </w:t>
            </w:r>
            <w:r w:rsidRPr="00983488">
              <w:rPr>
                <w:rFonts w:asciiTheme="minorBidi" w:eastAsia="Times New Roman" w:hAnsiTheme="minorBidi"/>
                <w:b/>
                <w:bCs/>
                <w:color w:val="1C1E29"/>
                <w:sz w:val="18"/>
                <w:szCs w:val="18"/>
              </w:rPr>
              <w:t>c.</w:t>
            </w:r>
            <w:r>
              <w:rPr>
                <w:rFonts w:asciiTheme="minorBidi" w:eastAsia="Times New Roman" w:hAnsiTheme="minorBidi"/>
                <w:color w:val="1C1E29"/>
                <w:sz w:val="18"/>
                <w:szCs w:val="18"/>
              </w:rPr>
              <w:t xml:space="preserve">   Combined with previous study o</w:t>
            </w:r>
            <w:r w:rsidR="007569BD" w:rsidRPr="005228C7">
              <w:rPr>
                <w:rFonts w:asciiTheme="minorBidi" w:eastAsia="Times New Roman" w:hAnsiTheme="minorBidi"/>
                <w:color w:val="1C1E29"/>
                <w:sz w:val="18"/>
                <w:szCs w:val="18"/>
              </w:rPr>
              <w:t>ur data suggests that BDNF and KCC2 maybe candidate molecules that are involved in tolerance and OIH. By increasing KCC2, the ultra-low dose of naloxone along with morphine might be a valuable therapeutic potential for controlling hypersensitivity following chronic morphine administration.</w:t>
            </w:r>
          </w:p>
          <w:p w14:paraId="09AE622F" w14:textId="1F66525E" w:rsidR="00282B0C" w:rsidRPr="002C70B0" w:rsidRDefault="0067771F" w:rsidP="00282B0C">
            <w:pPr>
              <w:autoSpaceDE w:val="0"/>
              <w:autoSpaceDN w:val="0"/>
              <w:adjustRightInd w:val="0"/>
              <w:spacing w:before="60" w:after="60"/>
              <w:ind w:left="227" w:hanging="227"/>
              <w:rPr>
                <w:rFonts w:ascii="Arial" w:hAnsi="Arial" w:cs="Arial"/>
                <w:b/>
                <w:bCs/>
                <w:sz w:val="18"/>
                <w:szCs w:val="18"/>
              </w:rPr>
            </w:pPr>
            <w:r>
              <w:rPr>
                <w:rFonts w:ascii="Arial" w:hAnsi="Arial" w:cs="Arial"/>
                <w:b/>
                <w:bCs/>
                <w:noProof/>
                <w:sz w:val="18"/>
                <w:szCs w:val="18"/>
                <w:lang w:eastAsia="en-GB"/>
              </w:rPr>
              <w:t xml:space="preserve">      </w:t>
            </w:r>
          </w:p>
        </w:tc>
        <w:tc>
          <w:tcPr>
            <w:tcW w:w="1440" w:type="dxa"/>
            <w:gridSpan w:val="2"/>
            <w:tcBorders>
              <w:top w:val="single" w:sz="8" w:space="0" w:color="642D5C"/>
              <w:left w:val="single" w:sz="8" w:space="0" w:color="642D5C"/>
              <w:bottom w:val="single" w:sz="8" w:space="0" w:color="642D5C"/>
            </w:tcBorders>
          </w:tcPr>
          <w:p w14:paraId="0B3FFF65" w14:textId="77777777" w:rsidR="00282B0C" w:rsidRDefault="00282B0C" w:rsidP="00282B0C">
            <w:pPr>
              <w:autoSpaceDE w:val="0"/>
              <w:autoSpaceDN w:val="0"/>
              <w:adjustRightInd w:val="0"/>
              <w:spacing w:before="60" w:after="60"/>
              <w:rPr>
                <w:rFonts w:ascii="Arial" w:hAnsi="Arial" w:cs="Arial"/>
                <w:sz w:val="18"/>
                <w:szCs w:val="18"/>
              </w:rPr>
            </w:pPr>
          </w:p>
          <w:p w14:paraId="6BFD5236" w14:textId="77777777" w:rsidR="007569BD" w:rsidRDefault="007569BD" w:rsidP="00282B0C">
            <w:pPr>
              <w:autoSpaceDE w:val="0"/>
              <w:autoSpaceDN w:val="0"/>
              <w:adjustRightInd w:val="0"/>
              <w:spacing w:before="60" w:after="60"/>
              <w:rPr>
                <w:rFonts w:ascii="Arial" w:hAnsi="Arial" w:cs="Arial"/>
                <w:sz w:val="18"/>
                <w:szCs w:val="18"/>
              </w:rPr>
            </w:pPr>
          </w:p>
          <w:p w14:paraId="137B8E75" w14:textId="77777777" w:rsidR="007569BD" w:rsidRDefault="007569BD" w:rsidP="00282B0C">
            <w:pPr>
              <w:autoSpaceDE w:val="0"/>
              <w:autoSpaceDN w:val="0"/>
              <w:adjustRightInd w:val="0"/>
              <w:spacing w:before="60" w:after="60"/>
              <w:rPr>
                <w:rFonts w:ascii="Arial" w:hAnsi="Arial" w:cs="Arial"/>
                <w:sz w:val="18"/>
                <w:szCs w:val="18"/>
              </w:rPr>
            </w:pPr>
            <w:r>
              <w:rPr>
                <w:rFonts w:ascii="Arial" w:hAnsi="Arial" w:cs="Arial"/>
                <w:sz w:val="18"/>
                <w:szCs w:val="18"/>
              </w:rPr>
              <w:t>Throughout</w:t>
            </w:r>
          </w:p>
          <w:p w14:paraId="69ED6327" w14:textId="77777777" w:rsidR="007569BD" w:rsidRDefault="007569BD" w:rsidP="00282B0C">
            <w:pPr>
              <w:autoSpaceDE w:val="0"/>
              <w:autoSpaceDN w:val="0"/>
              <w:adjustRightInd w:val="0"/>
              <w:spacing w:before="60" w:after="60"/>
              <w:rPr>
                <w:rFonts w:ascii="Arial" w:hAnsi="Arial" w:cs="Arial"/>
                <w:sz w:val="18"/>
                <w:szCs w:val="18"/>
              </w:rPr>
            </w:pPr>
          </w:p>
          <w:p w14:paraId="0472443C" w14:textId="77777777" w:rsidR="007569BD" w:rsidRDefault="007569BD" w:rsidP="00282B0C">
            <w:pPr>
              <w:autoSpaceDE w:val="0"/>
              <w:autoSpaceDN w:val="0"/>
              <w:adjustRightInd w:val="0"/>
              <w:spacing w:before="60" w:after="60"/>
              <w:rPr>
                <w:rFonts w:ascii="Arial" w:hAnsi="Arial" w:cs="Arial"/>
                <w:sz w:val="18"/>
                <w:szCs w:val="18"/>
              </w:rPr>
            </w:pPr>
          </w:p>
          <w:p w14:paraId="40BC9982" w14:textId="7D4E9ABB" w:rsidR="007569BD" w:rsidRDefault="007569BD" w:rsidP="00282B0C">
            <w:pPr>
              <w:autoSpaceDE w:val="0"/>
              <w:autoSpaceDN w:val="0"/>
              <w:adjustRightInd w:val="0"/>
              <w:spacing w:before="60" w:after="60"/>
              <w:rPr>
                <w:rFonts w:ascii="Arial" w:hAnsi="Arial" w:cs="Arial"/>
                <w:sz w:val="18"/>
                <w:szCs w:val="18"/>
              </w:rPr>
            </w:pPr>
          </w:p>
          <w:p w14:paraId="4B92EF85" w14:textId="5EFB9742" w:rsidR="00DC1614" w:rsidRDefault="00DC1614" w:rsidP="00282B0C">
            <w:pPr>
              <w:autoSpaceDE w:val="0"/>
              <w:autoSpaceDN w:val="0"/>
              <w:adjustRightInd w:val="0"/>
              <w:spacing w:before="60" w:after="60"/>
              <w:rPr>
                <w:rFonts w:ascii="Arial" w:hAnsi="Arial" w:cs="Arial"/>
                <w:sz w:val="18"/>
                <w:szCs w:val="18"/>
              </w:rPr>
            </w:pPr>
          </w:p>
          <w:p w14:paraId="74E6A5ED" w14:textId="4F7864F7" w:rsidR="00DC1614" w:rsidRDefault="00DC1614" w:rsidP="00282B0C">
            <w:pPr>
              <w:autoSpaceDE w:val="0"/>
              <w:autoSpaceDN w:val="0"/>
              <w:adjustRightInd w:val="0"/>
              <w:spacing w:before="60" w:after="60"/>
              <w:rPr>
                <w:rFonts w:ascii="Arial" w:hAnsi="Arial" w:cs="Arial"/>
                <w:sz w:val="18"/>
                <w:szCs w:val="18"/>
              </w:rPr>
            </w:pPr>
          </w:p>
          <w:p w14:paraId="58C638E9" w14:textId="47823309" w:rsidR="00DC1614" w:rsidRDefault="00DC1614" w:rsidP="00282B0C">
            <w:pPr>
              <w:autoSpaceDE w:val="0"/>
              <w:autoSpaceDN w:val="0"/>
              <w:adjustRightInd w:val="0"/>
              <w:spacing w:before="60" w:after="60"/>
              <w:rPr>
                <w:rFonts w:ascii="Arial" w:hAnsi="Arial" w:cs="Arial"/>
                <w:sz w:val="18"/>
                <w:szCs w:val="18"/>
              </w:rPr>
            </w:pPr>
          </w:p>
          <w:p w14:paraId="68ECCBCA" w14:textId="5F52F752" w:rsidR="00DC1614" w:rsidRDefault="00DC1614" w:rsidP="00282B0C">
            <w:pPr>
              <w:autoSpaceDE w:val="0"/>
              <w:autoSpaceDN w:val="0"/>
              <w:adjustRightInd w:val="0"/>
              <w:spacing w:before="60" w:after="60"/>
              <w:rPr>
                <w:rFonts w:ascii="Arial" w:hAnsi="Arial" w:cs="Arial"/>
                <w:sz w:val="18"/>
                <w:szCs w:val="18"/>
              </w:rPr>
            </w:pPr>
          </w:p>
          <w:p w14:paraId="0CE6F70F" w14:textId="13A0AE01" w:rsidR="00DC1614" w:rsidRDefault="00DC1614" w:rsidP="00282B0C">
            <w:pPr>
              <w:autoSpaceDE w:val="0"/>
              <w:autoSpaceDN w:val="0"/>
              <w:adjustRightInd w:val="0"/>
              <w:spacing w:before="60" w:after="60"/>
              <w:rPr>
                <w:rFonts w:ascii="Arial" w:hAnsi="Arial" w:cs="Arial"/>
                <w:sz w:val="18"/>
                <w:szCs w:val="18"/>
              </w:rPr>
            </w:pPr>
          </w:p>
          <w:p w14:paraId="16400EA5" w14:textId="327E7ED9" w:rsidR="00DC1614" w:rsidRDefault="00DC1614" w:rsidP="00282B0C">
            <w:pPr>
              <w:autoSpaceDE w:val="0"/>
              <w:autoSpaceDN w:val="0"/>
              <w:adjustRightInd w:val="0"/>
              <w:spacing w:before="60" w:after="60"/>
              <w:rPr>
                <w:rFonts w:ascii="Arial" w:hAnsi="Arial" w:cs="Arial"/>
                <w:sz w:val="18"/>
                <w:szCs w:val="18"/>
              </w:rPr>
            </w:pPr>
          </w:p>
          <w:p w14:paraId="39D5196F" w14:textId="3F3D7F8E" w:rsidR="00DC1614" w:rsidRDefault="00DC1614" w:rsidP="00282B0C">
            <w:pPr>
              <w:autoSpaceDE w:val="0"/>
              <w:autoSpaceDN w:val="0"/>
              <w:adjustRightInd w:val="0"/>
              <w:spacing w:before="60" w:after="60"/>
              <w:rPr>
                <w:rFonts w:ascii="Arial" w:hAnsi="Arial" w:cs="Arial"/>
                <w:sz w:val="18"/>
                <w:szCs w:val="18"/>
              </w:rPr>
            </w:pPr>
          </w:p>
          <w:p w14:paraId="35534852" w14:textId="570A548B" w:rsidR="00DC1614" w:rsidRDefault="00DC1614" w:rsidP="00282B0C">
            <w:pPr>
              <w:autoSpaceDE w:val="0"/>
              <w:autoSpaceDN w:val="0"/>
              <w:adjustRightInd w:val="0"/>
              <w:spacing w:before="60" w:after="60"/>
              <w:rPr>
                <w:rFonts w:ascii="Arial" w:hAnsi="Arial" w:cs="Arial"/>
                <w:sz w:val="18"/>
                <w:szCs w:val="18"/>
              </w:rPr>
            </w:pPr>
          </w:p>
          <w:p w14:paraId="425A41C5" w14:textId="1B9A0447" w:rsidR="00DC1614" w:rsidRDefault="00DC1614" w:rsidP="00282B0C">
            <w:pPr>
              <w:autoSpaceDE w:val="0"/>
              <w:autoSpaceDN w:val="0"/>
              <w:adjustRightInd w:val="0"/>
              <w:spacing w:before="60" w:after="60"/>
              <w:rPr>
                <w:rFonts w:ascii="Arial" w:hAnsi="Arial" w:cs="Arial"/>
                <w:sz w:val="18"/>
                <w:szCs w:val="18"/>
              </w:rPr>
            </w:pPr>
          </w:p>
          <w:p w14:paraId="7EA2C5DF" w14:textId="77777777" w:rsidR="00DC1614" w:rsidRDefault="00DC1614" w:rsidP="00282B0C">
            <w:pPr>
              <w:autoSpaceDE w:val="0"/>
              <w:autoSpaceDN w:val="0"/>
              <w:adjustRightInd w:val="0"/>
              <w:spacing w:before="60" w:after="60"/>
              <w:rPr>
                <w:rFonts w:ascii="Arial" w:hAnsi="Arial" w:cs="Arial"/>
                <w:sz w:val="18"/>
                <w:szCs w:val="18"/>
              </w:rPr>
            </w:pPr>
          </w:p>
          <w:p w14:paraId="36AB66BA" w14:textId="41BCA68F" w:rsidR="007569BD" w:rsidRDefault="007569BD" w:rsidP="00282B0C">
            <w:pPr>
              <w:autoSpaceDE w:val="0"/>
              <w:autoSpaceDN w:val="0"/>
              <w:adjustRightInd w:val="0"/>
              <w:spacing w:before="60" w:after="60"/>
              <w:rPr>
                <w:rFonts w:ascii="Arial" w:hAnsi="Arial" w:cs="Arial"/>
                <w:sz w:val="18"/>
                <w:szCs w:val="18"/>
                <w:rtl/>
              </w:rPr>
            </w:pPr>
            <w:r>
              <w:rPr>
                <w:rFonts w:ascii="Arial" w:hAnsi="Arial" w:cs="Arial"/>
                <w:sz w:val="18"/>
                <w:szCs w:val="18"/>
              </w:rPr>
              <w:t>Paragraph 8</w:t>
            </w:r>
            <w:r w:rsidR="00DC1614">
              <w:rPr>
                <w:rFonts w:ascii="Arial" w:hAnsi="Arial" w:cs="Arial"/>
                <w:sz w:val="18"/>
                <w:szCs w:val="18"/>
              </w:rPr>
              <w:t xml:space="preserve"> &amp; 9</w:t>
            </w:r>
          </w:p>
          <w:p w14:paraId="12D7B47F" w14:textId="77777777" w:rsidR="00983488" w:rsidRDefault="00983488" w:rsidP="00282B0C">
            <w:pPr>
              <w:autoSpaceDE w:val="0"/>
              <w:autoSpaceDN w:val="0"/>
              <w:adjustRightInd w:val="0"/>
              <w:spacing w:before="60" w:after="60"/>
              <w:rPr>
                <w:rFonts w:ascii="Arial" w:hAnsi="Arial" w:cs="Arial"/>
                <w:sz w:val="18"/>
                <w:szCs w:val="18"/>
                <w:rtl/>
              </w:rPr>
            </w:pPr>
          </w:p>
          <w:p w14:paraId="01F96212" w14:textId="6890B75F" w:rsidR="00983488" w:rsidRPr="00983488" w:rsidRDefault="00983488" w:rsidP="00DC1614">
            <w:pPr>
              <w:autoSpaceDE w:val="0"/>
              <w:autoSpaceDN w:val="0"/>
              <w:adjustRightInd w:val="0"/>
              <w:spacing w:before="60" w:after="60"/>
              <w:rPr>
                <w:rFonts w:ascii="Arial" w:hAnsi="Arial" w:cs="Arial"/>
                <w:sz w:val="18"/>
                <w:szCs w:val="18"/>
                <w:lang w:val="en-US"/>
              </w:rPr>
            </w:pPr>
          </w:p>
        </w:tc>
      </w:tr>
      <w:tr w:rsidR="00282B0C" w:rsidRPr="00227F90" w14:paraId="6CE3A4F8" w14:textId="77777777" w:rsidTr="0067771F">
        <w:tc>
          <w:tcPr>
            <w:tcW w:w="9630" w:type="dxa"/>
            <w:tcBorders>
              <w:top w:val="single" w:sz="8" w:space="0" w:color="642D5C"/>
              <w:bottom w:val="single" w:sz="8" w:space="0" w:color="642D5C"/>
              <w:right w:val="single" w:sz="8" w:space="0" w:color="642D5C"/>
            </w:tcBorders>
          </w:tcPr>
          <w:p w14:paraId="32AED015" w14:textId="1CA23934" w:rsidR="00282B0C" w:rsidRPr="00DC1614" w:rsidRDefault="00983488" w:rsidP="00282B0C">
            <w:pPr>
              <w:autoSpaceDE w:val="0"/>
              <w:autoSpaceDN w:val="0"/>
              <w:adjustRightInd w:val="0"/>
              <w:spacing w:before="60" w:after="60"/>
              <w:rPr>
                <w:rFonts w:ascii="Arial" w:hAnsi="Arial" w:cs="Arial"/>
                <w:b/>
                <w:bCs/>
                <w:noProof/>
                <w:sz w:val="18"/>
                <w:szCs w:val="18"/>
                <w:lang w:eastAsia="en-GB"/>
              </w:rPr>
            </w:pPr>
            <w:r w:rsidRPr="00DC1614">
              <w:rPr>
                <w:rFonts w:ascii="Arial" w:hAnsi="Arial" w:cs="Arial"/>
                <w:b/>
                <w:bCs/>
                <w:noProof/>
                <w:sz w:val="18"/>
                <w:szCs w:val="18"/>
                <w:lang w:eastAsia="en-GB"/>
              </w:rPr>
              <w:lastRenderedPageBreak/>
              <w:t>Generalisability/</w:t>
            </w:r>
          </w:p>
          <w:p w14:paraId="000DDE33" w14:textId="66185341" w:rsidR="00CB2973" w:rsidRPr="005228C7" w:rsidRDefault="00983488" w:rsidP="00CB2973">
            <w:pPr>
              <w:autoSpaceDE w:val="0"/>
              <w:autoSpaceDN w:val="0"/>
              <w:adjustRightInd w:val="0"/>
              <w:jc w:val="both"/>
              <w:rPr>
                <w:rFonts w:asciiTheme="minorBidi" w:eastAsia="Times New Roman" w:hAnsiTheme="minorBidi"/>
                <w:color w:val="1C1E29"/>
                <w:sz w:val="18"/>
                <w:szCs w:val="18"/>
              </w:rPr>
            </w:pPr>
            <w:r w:rsidRPr="00DC1614">
              <w:rPr>
                <w:rFonts w:ascii="Arial" w:hAnsi="Arial" w:cs="Arial"/>
                <w:b/>
                <w:bCs/>
                <w:noProof/>
                <w:sz w:val="18"/>
                <w:szCs w:val="18"/>
                <w:lang w:eastAsia="en-GB"/>
              </w:rPr>
              <w:t>Translate</w:t>
            </w:r>
            <w:r>
              <w:rPr>
                <w:rFonts w:ascii="Arial" w:hAnsi="Arial" w:cs="Arial"/>
                <w:noProof/>
                <w:sz w:val="18"/>
                <w:szCs w:val="18"/>
                <w:lang w:eastAsia="en-GB"/>
              </w:rPr>
              <w:t xml:space="preserve">                                               19</w:t>
            </w:r>
            <w:r w:rsidR="00CB2973">
              <w:rPr>
                <w:rFonts w:ascii="Arial" w:hAnsi="Arial" w:cs="Arial"/>
                <w:noProof/>
                <w:sz w:val="18"/>
                <w:szCs w:val="18"/>
                <w:lang w:eastAsia="en-GB"/>
              </w:rPr>
              <w:t xml:space="preserve">          </w:t>
            </w:r>
            <w:r w:rsidR="00CB2973">
              <w:rPr>
                <w:rFonts w:asciiTheme="minorBidi" w:eastAsia="Times New Roman" w:hAnsiTheme="minorBidi"/>
                <w:color w:val="1C1E29"/>
                <w:sz w:val="18"/>
                <w:szCs w:val="18"/>
              </w:rPr>
              <w:t>Combined with previous study o</w:t>
            </w:r>
            <w:r w:rsidR="00CB2973" w:rsidRPr="005228C7">
              <w:rPr>
                <w:rFonts w:asciiTheme="minorBidi" w:eastAsia="Times New Roman" w:hAnsiTheme="minorBidi"/>
                <w:color w:val="1C1E29"/>
                <w:sz w:val="18"/>
                <w:szCs w:val="18"/>
              </w:rPr>
              <w:t>ur data suggests that BDNF and KCC2 maybe candidate molecules that are involved in tolerance and OIH. By increasing KCC2, the ultra-low dose of naloxone along with morphine might be a valuable therapeutic potential for controlling hypersensitivity following chronic morphine administration.</w:t>
            </w:r>
          </w:p>
          <w:p w14:paraId="2F1205A6" w14:textId="77777777" w:rsidR="00CB2973" w:rsidRDefault="00CB2973" w:rsidP="00CB2973">
            <w:pPr>
              <w:autoSpaceDE w:val="0"/>
              <w:autoSpaceDN w:val="0"/>
              <w:adjustRightInd w:val="0"/>
              <w:spacing w:line="480" w:lineRule="auto"/>
              <w:jc w:val="both"/>
              <w:rPr>
                <w:rFonts w:ascii="Times New Roman" w:eastAsia="Times New Roman" w:hAnsi="Times New Roman" w:cs="Times New Roman"/>
                <w:color w:val="1C1E29"/>
                <w:sz w:val="24"/>
                <w:szCs w:val="24"/>
              </w:rPr>
            </w:pPr>
          </w:p>
          <w:p w14:paraId="001CB4B4" w14:textId="616F70D8" w:rsidR="00983488" w:rsidRPr="00227F90" w:rsidRDefault="00983488" w:rsidP="00282B0C">
            <w:pPr>
              <w:autoSpaceDE w:val="0"/>
              <w:autoSpaceDN w:val="0"/>
              <w:adjustRightInd w:val="0"/>
              <w:spacing w:before="60" w:after="60"/>
              <w:rPr>
                <w:rFonts w:ascii="Arial" w:hAnsi="Arial" w:cs="Arial"/>
                <w:sz w:val="18"/>
                <w:szCs w:val="18"/>
              </w:rPr>
            </w:pPr>
          </w:p>
        </w:tc>
        <w:tc>
          <w:tcPr>
            <w:tcW w:w="1440" w:type="dxa"/>
            <w:gridSpan w:val="2"/>
            <w:tcBorders>
              <w:top w:val="single" w:sz="8" w:space="0" w:color="642D5C"/>
              <w:left w:val="single" w:sz="8" w:space="0" w:color="642D5C"/>
              <w:bottom w:val="single" w:sz="8" w:space="0" w:color="642D5C"/>
            </w:tcBorders>
          </w:tcPr>
          <w:p w14:paraId="31B26962" w14:textId="77777777" w:rsidR="00960575" w:rsidRDefault="00960575" w:rsidP="00282B0C">
            <w:pPr>
              <w:autoSpaceDE w:val="0"/>
              <w:autoSpaceDN w:val="0"/>
              <w:adjustRightInd w:val="0"/>
              <w:spacing w:before="60" w:after="60"/>
              <w:rPr>
                <w:rFonts w:ascii="Arial" w:hAnsi="Arial" w:cs="Arial"/>
                <w:sz w:val="18"/>
                <w:szCs w:val="18"/>
              </w:rPr>
            </w:pPr>
          </w:p>
          <w:p w14:paraId="1D39404C" w14:textId="77777777" w:rsidR="00960575" w:rsidRDefault="00960575" w:rsidP="00282B0C">
            <w:pPr>
              <w:autoSpaceDE w:val="0"/>
              <w:autoSpaceDN w:val="0"/>
              <w:adjustRightInd w:val="0"/>
              <w:spacing w:before="60" w:after="60"/>
              <w:rPr>
                <w:rFonts w:ascii="Arial" w:hAnsi="Arial" w:cs="Arial"/>
                <w:sz w:val="18"/>
                <w:szCs w:val="18"/>
              </w:rPr>
            </w:pPr>
          </w:p>
          <w:p w14:paraId="684CFF1B" w14:textId="2481A8E6" w:rsidR="00282B0C" w:rsidRPr="00227F90" w:rsidRDefault="00CB2973" w:rsidP="00282B0C">
            <w:pPr>
              <w:autoSpaceDE w:val="0"/>
              <w:autoSpaceDN w:val="0"/>
              <w:adjustRightInd w:val="0"/>
              <w:spacing w:before="60" w:after="60"/>
              <w:rPr>
                <w:rFonts w:ascii="Arial" w:hAnsi="Arial" w:cs="Arial"/>
                <w:sz w:val="18"/>
                <w:szCs w:val="18"/>
              </w:rPr>
            </w:pPr>
            <w:r>
              <w:rPr>
                <w:rFonts w:ascii="Arial" w:hAnsi="Arial" w:cs="Arial"/>
                <w:sz w:val="18"/>
                <w:szCs w:val="18"/>
              </w:rPr>
              <w:t>Paragraph 9</w:t>
            </w:r>
          </w:p>
        </w:tc>
      </w:tr>
      <w:tr w:rsidR="00282B0C" w:rsidRPr="00227F90" w14:paraId="35B06E92" w14:textId="77777777" w:rsidTr="0067771F">
        <w:trPr>
          <w:gridAfter w:val="1"/>
          <w:wAfter w:w="304" w:type="dxa"/>
        </w:trPr>
        <w:tc>
          <w:tcPr>
            <w:tcW w:w="9630" w:type="dxa"/>
            <w:tcBorders>
              <w:top w:val="single" w:sz="8" w:space="0" w:color="642D5C"/>
              <w:bottom w:val="single" w:sz="8" w:space="0" w:color="642D5C"/>
              <w:right w:val="single" w:sz="8" w:space="0" w:color="642D5C"/>
            </w:tcBorders>
          </w:tcPr>
          <w:p w14:paraId="3A0EF375" w14:textId="77777777" w:rsidR="00CB2973" w:rsidRPr="004D3FAF" w:rsidRDefault="00CB2973" w:rsidP="00CB2973">
            <w:pPr>
              <w:jc w:val="both"/>
              <w:rPr>
                <w:rFonts w:asciiTheme="majorBidi" w:hAnsiTheme="majorBidi" w:cstheme="majorBidi"/>
                <w:lang w:bidi="fa-IR"/>
              </w:rPr>
            </w:pPr>
            <w:r w:rsidRPr="00CB2973">
              <w:rPr>
                <w:rFonts w:ascii="Arial" w:hAnsi="Arial" w:cs="Arial"/>
                <w:b/>
                <w:bCs/>
                <w:noProof/>
                <w:sz w:val="18"/>
                <w:szCs w:val="18"/>
                <w:lang w:eastAsia="en-GB"/>
              </w:rPr>
              <w:t>Funding</w:t>
            </w:r>
            <w:r>
              <w:rPr>
                <w:rFonts w:ascii="Arial" w:hAnsi="Arial" w:cs="Arial"/>
                <w:b/>
                <w:bCs/>
                <w:noProof/>
                <w:sz w:val="18"/>
                <w:szCs w:val="18"/>
                <w:lang w:eastAsia="en-GB"/>
              </w:rPr>
              <w:t xml:space="preserve">                                                 20         </w:t>
            </w:r>
            <w:r w:rsidRPr="00CB2973">
              <w:rPr>
                <w:rFonts w:asciiTheme="minorBidi" w:eastAsia="Times New Roman" w:hAnsiTheme="minorBidi"/>
                <w:color w:val="000000" w:themeColor="text1"/>
                <w:sz w:val="18"/>
                <w:szCs w:val="18"/>
              </w:rPr>
              <w:t xml:space="preserve">This study was supported by Research Department of the </w:t>
            </w:r>
            <w:r w:rsidRPr="00CB2973">
              <w:rPr>
                <w:rFonts w:asciiTheme="minorBidi" w:hAnsiTheme="minorBidi"/>
                <w:sz w:val="18"/>
                <w:szCs w:val="18"/>
                <w:lang w:bidi="fa-IR"/>
              </w:rPr>
              <w:t>School of</w:t>
            </w:r>
            <w:r w:rsidRPr="00CB2973">
              <w:rPr>
                <w:rFonts w:asciiTheme="minorBidi" w:eastAsia="Times New Roman" w:hAnsiTheme="minorBidi"/>
                <w:color w:val="000000" w:themeColor="text1"/>
                <w:sz w:val="18"/>
                <w:szCs w:val="18"/>
              </w:rPr>
              <w:t xml:space="preserve"> </w:t>
            </w:r>
            <w:r w:rsidRPr="00CB2973">
              <w:rPr>
                <w:rFonts w:asciiTheme="minorBidi" w:hAnsiTheme="minorBidi"/>
                <w:sz w:val="18"/>
                <w:szCs w:val="18"/>
                <w:lang w:bidi="fa-IR"/>
              </w:rPr>
              <w:t>Medicine, Shahid Beheshti University of Medical Sciences, Tehran, Iran.</w:t>
            </w:r>
          </w:p>
          <w:p w14:paraId="743CB77A" w14:textId="6A9E9FD3" w:rsidR="00282B0C" w:rsidRPr="00CB2973" w:rsidRDefault="00282B0C" w:rsidP="00282B0C">
            <w:pPr>
              <w:autoSpaceDE w:val="0"/>
              <w:autoSpaceDN w:val="0"/>
              <w:adjustRightInd w:val="0"/>
              <w:spacing w:before="60" w:after="60"/>
              <w:rPr>
                <w:rFonts w:ascii="Arial" w:hAnsi="Arial" w:cs="Arial"/>
                <w:b/>
                <w:bCs/>
                <w:sz w:val="18"/>
                <w:szCs w:val="18"/>
              </w:rPr>
            </w:pPr>
          </w:p>
        </w:tc>
        <w:tc>
          <w:tcPr>
            <w:tcW w:w="1136" w:type="dxa"/>
            <w:tcBorders>
              <w:top w:val="single" w:sz="8" w:space="0" w:color="642D5C"/>
              <w:left w:val="single" w:sz="8" w:space="0" w:color="642D5C"/>
              <w:bottom w:val="single" w:sz="8" w:space="0" w:color="642D5C"/>
            </w:tcBorders>
          </w:tcPr>
          <w:p w14:paraId="5857A70C" w14:textId="77777777" w:rsidR="00282B0C" w:rsidRPr="00227F90" w:rsidRDefault="00282B0C" w:rsidP="00282B0C">
            <w:pPr>
              <w:autoSpaceDE w:val="0"/>
              <w:autoSpaceDN w:val="0"/>
              <w:adjustRightInd w:val="0"/>
              <w:spacing w:before="60" w:after="60"/>
              <w:rPr>
                <w:rFonts w:ascii="Arial" w:hAnsi="Arial" w:cs="Arial"/>
                <w:sz w:val="18"/>
                <w:szCs w:val="18"/>
              </w:rPr>
            </w:pPr>
          </w:p>
        </w:tc>
      </w:tr>
    </w:tbl>
    <w:p w14:paraId="4C8EB081" w14:textId="3FA83A21" w:rsidR="00450565" w:rsidRDefault="00450565" w:rsidP="001A5841">
      <w:pPr>
        <w:autoSpaceDE w:val="0"/>
        <w:autoSpaceDN w:val="0"/>
        <w:adjustRightInd w:val="0"/>
        <w:spacing w:after="0" w:line="240" w:lineRule="auto"/>
        <w:rPr>
          <w:rFonts w:ascii="Arial" w:hAnsi="Arial" w:cs="Arial"/>
          <w:b/>
          <w:bCs/>
          <w:noProof/>
          <w:sz w:val="18"/>
          <w:szCs w:val="18"/>
          <w:lang w:eastAsia="en-GB"/>
        </w:rPr>
      </w:pPr>
      <w:r w:rsidRPr="00AA7B0F">
        <w:rPr>
          <w:rFonts w:ascii="Arial" w:hAnsi="Arial" w:cs="Arial"/>
          <w:b/>
          <w:bCs/>
          <w:noProof/>
          <w:sz w:val="18"/>
          <w:szCs w:val="18"/>
          <w:lang w:eastAsia="en-GB"/>
        </w:rPr>
        <w:drawing>
          <wp:anchor distT="0" distB="0" distL="114300" distR="114300" simplePos="0" relativeHeight="251659264" behindDoc="1" locked="0" layoutInCell="1" allowOverlap="1" wp14:anchorId="1A6F3B0B" wp14:editId="2466E52C">
            <wp:simplePos x="0" y="0"/>
            <wp:positionH relativeFrom="column">
              <wp:posOffset>-876935</wp:posOffset>
            </wp:positionH>
            <wp:positionV relativeFrom="paragraph">
              <wp:posOffset>114300</wp:posOffset>
            </wp:positionV>
            <wp:extent cx="683260" cy="683260"/>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square-only.jpg"/>
                    <pic:cNvPicPr/>
                  </pic:nvPicPr>
                  <pic:blipFill>
                    <a:blip r:embed="rId6">
                      <a:extLst>
                        <a:ext uri="{28A0092B-C50C-407E-A947-70E740481C1C}">
                          <a14:useLocalDpi xmlns:a14="http://schemas.microsoft.com/office/drawing/2010/main" val="0"/>
                        </a:ext>
                      </a:extLst>
                    </a:blip>
                    <a:stretch>
                      <a:fillRect/>
                    </a:stretch>
                  </pic:blipFill>
                  <pic:spPr>
                    <a:xfrm>
                      <a:off x="0" y="0"/>
                      <a:ext cx="683260" cy="683260"/>
                    </a:xfrm>
                    <a:prstGeom prst="rect">
                      <a:avLst/>
                    </a:prstGeom>
                  </pic:spPr>
                </pic:pic>
              </a:graphicData>
            </a:graphic>
            <wp14:sizeRelH relativeFrom="page">
              <wp14:pctWidth>0</wp14:pctWidth>
            </wp14:sizeRelH>
            <wp14:sizeRelV relativeFrom="page">
              <wp14:pctHeight>0</wp14:pctHeight>
            </wp14:sizeRelV>
          </wp:anchor>
        </w:drawing>
      </w:r>
      <w:r w:rsidR="00AA7B0F" w:rsidRPr="00AA7B0F">
        <w:rPr>
          <w:rFonts w:ascii="Arial" w:hAnsi="Arial" w:cs="Arial"/>
          <w:b/>
          <w:bCs/>
          <w:noProof/>
          <w:sz w:val="18"/>
          <w:szCs w:val="18"/>
          <w:lang w:eastAsia="en-GB"/>
        </w:rPr>
        <w:t>References</w:t>
      </w:r>
      <w:r w:rsidR="00AA7B0F">
        <w:rPr>
          <w:rFonts w:ascii="Arial" w:hAnsi="Arial" w:cs="Arial"/>
          <w:b/>
          <w:bCs/>
          <w:noProof/>
          <w:sz w:val="18"/>
          <w:szCs w:val="18"/>
          <w:lang w:eastAsia="en-GB"/>
        </w:rPr>
        <w:t>:</w:t>
      </w:r>
    </w:p>
    <w:p w14:paraId="7F750312" w14:textId="77777777" w:rsidR="00A501A4" w:rsidRPr="00F934FA" w:rsidRDefault="00A501A4" w:rsidP="00A501A4">
      <w:pPr>
        <w:pStyle w:val="EndNoteBibliography"/>
        <w:spacing w:after="0"/>
      </w:pPr>
      <w:r w:rsidRPr="00A37B6A">
        <w:rPr>
          <w:rFonts w:asciiTheme="majorBidi" w:hAnsiTheme="majorBidi" w:cstheme="majorBidi"/>
          <w:b/>
          <w:bCs/>
          <w:color w:val="000000" w:themeColor="text1"/>
          <w:sz w:val="24"/>
          <w:szCs w:val="24"/>
        </w:rPr>
        <w:fldChar w:fldCharType="begin"/>
      </w:r>
      <w:r w:rsidRPr="00A37B6A">
        <w:rPr>
          <w:rFonts w:asciiTheme="majorBidi" w:hAnsiTheme="majorBidi" w:cstheme="majorBidi"/>
          <w:b/>
          <w:bCs/>
          <w:color w:val="000000" w:themeColor="text1"/>
          <w:sz w:val="24"/>
          <w:szCs w:val="24"/>
        </w:rPr>
        <w:instrText xml:space="preserve"> ADDIN EN.REFLIST </w:instrText>
      </w:r>
      <w:r w:rsidRPr="00A37B6A">
        <w:rPr>
          <w:rFonts w:asciiTheme="majorBidi" w:hAnsiTheme="majorBidi" w:cstheme="majorBidi"/>
          <w:b/>
          <w:bCs/>
          <w:color w:val="000000" w:themeColor="text1"/>
          <w:sz w:val="24"/>
          <w:szCs w:val="24"/>
        </w:rPr>
        <w:fldChar w:fldCharType="separate"/>
      </w:r>
      <w:r w:rsidRPr="00F934FA">
        <w:t>1.</w:t>
      </w:r>
      <w:r w:rsidRPr="00F934FA">
        <w:tab/>
        <w:t>Streit WJ, Walter SA, Pennell NA.</w:t>
      </w:r>
      <w:r>
        <w:t xml:space="preserve"> (1999)</w:t>
      </w:r>
      <w:r w:rsidRPr="00F934FA">
        <w:t xml:space="preserve"> Reactive microgliosis. </w:t>
      </w:r>
      <w:r w:rsidRPr="0047184B">
        <w:rPr>
          <w:i/>
          <w:iCs/>
        </w:rPr>
        <w:t>Progress in neurobiology</w:t>
      </w:r>
      <w:r w:rsidRPr="00F934FA">
        <w:t xml:space="preserve"> 57(6):563-81.</w:t>
      </w:r>
    </w:p>
    <w:p w14:paraId="4703C399" w14:textId="77777777" w:rsidR="00A501A4" w:rsidRPr="00F934FA" w:rsidRDefault="00A501A4" w:rsidP="00A501A4">
      <w:pPr>
        <w:pStyle w:val="EndNoteBibliography"/>
        <w:spacing w:after="0"/>
      </w:pPr>
      <w:r w:rsidRPr="00F934FA">
        <w:t>2.</w:t>
      </w:r>
      <w:r w:rsidRPr="00F934FA">
        <w:tab/>
        <w:t xml:space="preserve">Roeckel L-A, Le Coz G-M, Gavériaux-Ruff C, Simonin F. </w:t>
      </w:r>
      <w:r>
        <w:t xml:space="preserve">(2016) </w:t>
      </w:r>
      <w:r w:rsidRPr="00F934FA">
        <w:t xml:space="preserve">Opioid-induced hyperalgesia: cellular and molecular mechanisms. </w:t>
      </w:r>
      <w:r w:rsidRPr="0047184B">
        <w:rPr>
          <w:i/>
          <w:iCs/>
        </w:rPr>
        <w:t>Neuroscience</w:t>
      </w:r>
      <w:r w:rsidRPr="00F934FA">
        <w:t xml:space="preserve"> 338:160-82.</w:t>
      </w:r>
    </w:p>
    <w:p w14:paraId="76739A5F" w14:textId="77777777" w:rsidR="00A501A4" w:rsidRPr="00F934FA" w:rsidRDefault="00A501A4" w:rsidP="00A501A4">
      <w:pPr>
        <w:pStyle w:val="EndNoteBibliography"/>
        <w:spacing w:after="0"/>
      </w:pPr>
      <w:r w:rsidRPr="00F934FA">
        <w:t>3.</w:t>
      </w:r>
      <w:r w:rsidRPr="00F934FA">
        <w:tab/>
        <w:t xml:space="preserve">Trang T, Al-Hasani R, Salvemini D, Salter MW, Gutstein H, Cahill CM. </w:t>
      </w:r>
      <w:r>
        <w:t xml:space="preserve">(2015) </w:t>
      </w:r>
      <w:r w:rsidRPr="00F934FA">
        <w:t xml:space="preserve">Pain and poppies: the good, the bad, and the ugly of opioid analgesics. </w:t>
      </w:r>
      <w:r w:rsidRPr="0047184B">
        <w:rPr>
          <w:i/>
          <w:iCs/>
        </w:rPr>
        <w:t>Journal of Neuroscience</w:t>
      </w:r>
      <w:r w:rsidRPr="00F934FA">
        <w:t xml:space="preserve"> 35(41):13879-88.</w:t>
      </w:r>
    </w:p>
    <w:p w14:paraId="4BF62DE4" w14:textId="77777777" w:rsidR="00A501A4" w:rsidRPr="00F934FA" w:rsidRDefault="00A501A4" w:rsidP="00A501A4">
      <w:pPr>
        <w:pStyle w:val="EndNoteBibliography"/>
        <w:spacing w:after="0"/>
      </w:pPr>
      <w:r w:rsidRPr="00F934FA">
        <w:t>4.</w:t>
      </w:r>
      <w:r w:rsidRPr="00F934FA">
        <w:tab/>
        <w:t>Coull JA, Beggs S, Boudreau D, Boivin D, Tsuda M, Inoue K, et al.</w:t>
      </w:r>
      <w:r>
        <w:t xml:space="preserve"> (2005)</w:t>
      </w:r>
      <w:r w:rsidRPr="00F934FA">
        <w:t xml:space="preserve"> BDNF from microglia causes the shift in neuronal anion gradient underlying neuropathic pain.</w:t>
      </w:r>
      <w:r w:rsidRPr="0047184B">
        <w:rPr>
          <w:i/>
          <w:iCs/>
        </w:rPr>
        <w:t xml:space="preserve"> Nature</w:t>
      </w:r>
      <w:r w:rsidRPr="00F934FA">
        <w:t xml:space="preserve"> 438(7070):1017.</w:t>
      </w:r>
    </w:p>
    <w:p w14:paraId="3E4B5593" w14:textId="77777777" w:rsidR="00A501A4" w:rsidRPr="00F934FA" w:rsidRDefault="00A501A4" w:rsidP="00A501A4">
      <w:pPr>
        <w:pStyle w:val="EndNoteBibliography"/>
        <w:spacing w:after="0"/>
      </w:pPr>
      <w:r w:rsidRPr="00F934FA">
        <w:t>5.</w:t>
      </w:r>
      <w:r w:rsidRPr="00F934FA">
        <w:tab/>
        <w:t xml:space="preserve">Tsuda M, Shigemoto-Mogami Y, Koizumi S, Mizokoshi A, Kohsaka S, Salter MW, et al. </w:t>
      </w:r>
      <w:r>
        <w:t xml:space="preserve">(2003) </w:t>
      </w:r>
      <w:r w:rsidRPr="00F934FA">
        <w:t xml:space="preserve">P2X 4 receptors induced in spinal microglia gate tactile allodynia after nerve injury. </w:t>
      </w:r>
      <w:r w:rsidRPr="0047184B">
        <w:rPr>
          <w:i/>
          <w:iCs/>
        </w:rPr>
        <w:t>Nature</w:t>
      </w:r>
      <w:r w:rsidRPr="00F934FA">
        <w:t xml:space="preserve"> 424(6950):778.</w:t>
      </w:r>
    </w:p>
    <w:p w14:paraId="6B1EC8C2" w14:textId="77777777" w:rsidR="00A501A4" w:rsidRPr="00F934FA" w:rsidRDefault="00A501A4" w:rsidP="00A501A4">
      <w:pPr>
        <w:pStyle w:val="EndNoteBibliography"/>
        <w:spacing w:after="0"/>
      </w:pPr>
      <w:r w:rsidRPr="00F934FA">
        <w:t>6.</w:t>
      </w:r>
      <w:r w:rsidRPr="00F934FA">
        <w:tab/>
        <w:t xml:space="preserve">Rivera C, Voipio J, Payne JA, Ruusuvuori E, Lahtinen H, Lamsa K, et al. </w:t>
      </w:r>
      <w:r>
        <w:t xml:space="preserve">(1999) </w:t>
      </w:r>
      <w:r w:rsidRPr="00F934FA">
        <w:t xml:space="preserve">The K+/Cl− co-transporter KCC2 renders GABA hyperpolarizing during neuronal maturation. </w:t>
      </w:r>
      <w:r w:rsidRPr="0047184B">
        <w:rPr>
          <w:i/>
          <w:iCs/>
        </w:rPr>
        <w:t>Nature</w:t>
      </w:r>
      <w:r w:rsidRPr="00F934FA">
        <w:t xml:space="preserve"> 397(6716):251.</w:t>
      </w:r>
    </w:p>
    <w:p w14:paraId="1708AAF2" w14:textId="77777777" w:rsidR="00A501A4" w:rsidRPr="00F934FA" w:rsidRDefault="00A501A4" w:rsidP="00A501A4">
      <w:pPr>
        <w:pStyle w:val="EndNoteBibliography"/>
        <w:spacing w:after="0"/>
      </w:pPr>
      <w:r w:rsidRPr="00F934FA">
        <w:t>7.</w:t>
      </w:r>
      <w:r w:rsidRPr="00F934FA">
        <w:tab/>
        <w:t>Rivera C, Li H, Thomas-Crusells J, Lahtinen H, Viitanen T, Nanobashvili A, et al.</w:t>
      </w:r>
      <w:r>
        <w:t xml:space="preserve"> (2002)</w:t>
      </w:r>
      <w:r w:rsidRPr="00F934FA">
        <w:t xml:space="preserve"> BDNF-induced TrkB activation down-regulates the K+–Cl− cotransporter KCC2 and impairs neuronal Cl− extrusion. </w:t>
      </w:r>
      <w:r w:rsidRPr="0047184B">
        <w:rPr>
          <w:i/>
          <w:iCs/>
        </w:rPr>
        <w:t>J Cell Biol</w:t>
      </w:r>
      <w:r w:rsidRPr="00F934FA">
        <w:t xml:space="preserve"> 159(5):747-52.</w:t>
      </w:r>
    </w:p>
    <w:p w14:paraId="4292D21E" w14:textId="77777777" w:rsidR="00A501A4" w:rsidRPr="00F934FA" w:rsidRDefault="00A501A4" w:rsidP="00A501A4">
      <w:pPr>
        <w:pStyle w:val="EndNoteBibliography"/>
        <w:spacing w:after="0"/>
      </w:pPr>
      <w:r w:rsidRPr="00F934FA">
        <w:t>8.</w:t>
      </w:r>
      <w:r w:rsidRPr="00F934FA">
        <w:tab/>
        <w:t xml:space="preserve">Kaila K. </w:t>
      </w:r>
      <w:r>
        <w:t xml:space="preserve">(1994) </w:t>
      </w:r>
      <w:r w:rsidRPr="00F934FA">
        <w:t xml:space="preserve">Ionic basis of GABAA receptor channel function in the nervous system. </w:t>
      </w:r>
      <w:r w:rsidRPr="0047184B">
        <w:rPr>
          <w:i/>
          <w:iCs/>
        </w:rPr>
        <w:t>Progress in</w:t>
      </w:r>
      <w:r w:rsidRPr="00F934FA">
        <w:t xml:space="preserve"> </w:t>
      </w:r>
      <w:r w:rsidRPr="0047184B">
        <w:rPr>
          <w:i/>
          <w:iCs/>
        </w:rPr>
        <w:t>neurobiology</w:t>
      </w:r>
      <w:r w:rsidRPr="00F934FA">
        <w:t xml:space="preserve"> 42(4):489-537.</w:t>
      </w:r>
    </w:p>
    <w:p w14:paraId="15939853" w14:textId="77777777" w:rsidR="00A501A4" w:rsidRPr="00F934FA" w:rsidRDefault="00A501A4" w:rsidP="00A501A4">
      <w:pPr>
        <w:pStyle w:val="EndNoteBibliography"/>
        <w:spacing w:after="0"/>
      </w:pPr>
      <w:r w:rsidRPr="00F934FA">
        <w:t>9.</w:t>
      </w:r>
      <w:r w:rsidRPr="00F934FA">
        <w:tab/>
        <w:t xml:space="preserve">Jefferys J. </w:t>
      </w:r>
      <w:r>
        <w:t xml:space="preserve">(1995) </w:t>
      </w:r>
      <w:r w:rsidRPr="00F934FA">
        <w:t xml:space="preserve">Nonsynaptic modulation of neuronal activity in the brain: electric currents and extracellular ions. </w:t>
      </w:r>
      <w:r w:rsidRPr="0047184B">
        <w:rPr>
          <w:i/>
          <w:iCs/>
        </w:rPr>
        <w:t>Physiological reviews</w:t>
      </w:r>
      <w:r w:rsidRPr="00F934FA">
        <w:t xml:space="preserve"> 75(4):689-723.</w:t>
      </w:r>
    </w:p>
    <w:p w14:paraId="5A47704F" w14:textId="77777777" w:rsidR="00A501A4" w:rsidRPr="00F934FA" w:rsidRDefault="00A501A4" w:rsidP="00A501A4">
      <w:pPr>
        <w:pStyle w:val="EndNoteBibliography"/>
        <w:spacing w:after="0"/>
      </w:pPr>
      <w:r w:rsidRPr="00F934FA">
        <w:t>10.</w:t>
      </w:r>
      <w:r w:rsidRPr="00F934FA">
        <w:tab/>
        <w:t>Shen K-F, Crain SM.</w:t>
      </w:r>
      <w:r>
        <w:t xml:space="preserve"> (1997) </w:t>
      </w:r>
      <w:r w:rsidRPr="00F934FA">
        <w:t xml:space="preserve">Ultra-low doses of naltrexone or etorphine increase morphine's antinociceptive potency and attenuate tolerance/dependence in mice. </w:t>
      </w:r>
      <w:r w:rsidRPr="0047184B">
        <w:rPr>
          <w:i/>
          <w:iCs/>
        </w:rPr>
        <w:t>Brain research</w:t>
      </w:r>
      <w:r>
        <w:t xml:space="preserve"> </w:t>
      </w:r>
      <w:r w:rsidRPr="00F934FA">
        <w:t>757(2):176-90.</w:t>
      </w:r>
    </w:p>
    <w:p w14:paraId="01AC5D78" w14:textId="77777777" w:rsidR="00A501A4" w:rsidRPr="00F934FA" w:rsidRDefault="00A501A4" w:rsidP="00A501A4">
      <w:pPr>
        <w:pStyle w:val="EndNoteBibliography"/>
        <w:spacing w:after="0"/>
      </w:pPr>
      <w:r w:rsidRPr="00F934FA">
        <w:t>11.</w:t>
      </w:r>
      <w:r w:rsidRPr="00F934FA">
        <w:tab/>
        <w:t>Powell KJ, Abul-Husn NS, Jhamandas A, Olmstead MC, Beninger RJ, Jhamandas K.</w:t>
      </w:r>
      <w:r>
        <w:t xml:space="preserve"> (2002)</w:t>
      </w:r>
      <w:r w:rsidRPr="00F934FA">
        <w:t xml:space="preserve"> Paradoxical effects of the opioid antagonist naltrexone on morphine analgesia, tolerance, and reward in rats. </w:t>
      </w:r>
      <w:r w:rsidRPr="0047184B">
        <w:rPr>
          <w:i/>
          <w:iCs/>
        </w:rPr>
        <w:t>Journal of Pharmacology and Experimental Therapeutics</w:t>
      </w:r>
      <w:r w:rsidRPr="00F934FA">
        <w:t xml:space="preserve"> 300(2):588-96.</w:t>
      </w:r>
    </w:p>
    <w:p w14:paraId="4C8A851B" w14:textId="77777777" w:rsidR="00A501A4" w:rsidRPr="00F934FA" w:rsidRDefault="00A501A4" w:rsidP="00A501A4">
      <w:pPr>
        <w:pStyle w:val="EndNoteBibliography"/>
        <w:spacing w:after="0"/>
      </w:pPr>
      <w:r w:rsidRPr="00F934FA">
        <w:t>12.</w:t>
      </w:r>
      <w:r w:rsidRPr="00F934FA">
        <w:tab/>
        <w:t>Lin SL, Tsai RY, Tai YH, Cherng CH, Wu CT, Yeh CC, et al.</w:t>
      </w:r>
      <w:r>
        <w:t xml:space="preserve"> (2010)</w:t>
      </w:r>
      <w:r w:rsidRPr="00F934FA">
        <w:t xml:space="preserve"> Ultra-low dose naloxone upregulates interleukin-10 expression and suppresses neuroinflammation in morphine-tolerant rat spinal cords. </w:t>
      </w:r>
      <w:r w:rsidRPr="0047184B">
        <w:rPr>
          <w:i/>
          <w:iCs/>
        </w:rPr>
        <w:t>Behav Brain Res</w:t>
      </w:r>
      <w:r>
        <w:t xml:space="preserve"> </w:t>
      </w:r>
      <w:r w:rsidRPr="00F934FA">
        <w:t>207(1):30-6.</w:t>
      </w:r>
    </w:p>
    <w:p w14:paraId="792145B5" w14:textId="77777777" w:rsidR="00A501A4" w:rsidRPr="00F934FA" w:rsidRDefault="00A501A4" w:rsidP="00A501A4">
      <w:pPr>
        <w:pStyle w:val="EndNoteBibliography"/>
        <w:spacing w:after="0"/>
      </w:pPr>
      <w:r w:rsidRPr="00F934FA">
        <w:t>13.</w:t>
      </w:r>
      <w:r w:rsidRPr="00F934FA">
        <w:tab/>
        <w:t>Tsai R-Y, Jang F-L, Tai Y-H, Lin S-L, Shen C-H, Wong C-S.</w:t>
      </w:r>
      <w:r>
        <w:t xml:space="preserve"> (2008)</w:t>
      </w:r>
      <w:r w:rsidRPr="00F934FA">
        <w:t xml:space="preserve"> Ultra-low-dose naloxone restores the antinociceptive effect of morphine and suppresses spinal neuroinflammation in PTX-treated rats. </w:t>
      </w:r>
      <w:r w:rsidRPr="005F0839">
        <w:rPr>
          <w:i/>
          <w:iCs/>
        </w:rPr>
        <w:t>Neuropsychopharmacology</w:t>
      </w:r>
      <w:r>
        <w:t xml:space="preserve"> </w:t>
      </w:r>
      <w:r w:rsidRPr="00F934FA">
        <w:t>33(11):2772.</w:t>
      </w:r>
    </w:p>
    <w:p w14:paraId="0C7C2CFD" w14:textId="77777777" w:rsidR="00A501A4" w:rsidRPr="00F934FA" w:rsidRDefault="00A501A4" w:rsidP="00A501A4">
      <w:pPr>
        <w:pStyle w:val="EndNoteBibliography"/>
        <w:spacing w:after="0"/>
      </w:pPr>
      <w:r w:rsidRPr="00F934FA">
        <w:lastRenderedPageBreak/>
        <w:t>14.</w:t>
      </w:r>
      <w:r w:rsidRPr="00F934FA">
        <w:tab/>
        <w:t>Wang H-Y, Friedman E, Olmstead M, Burns L.</w:t>
      </w:r>
      <w:r>
        <w:t xml:space="preserve"> (2005)</w:t>
      </w:r>
      <w:r w:rsidRPr="00F934FA">
        <w:t xml:space="preserve"> Ultra-low-dose naloxone suppresses opioid tolerance, dependence and associated changes in Mu opioid receptor–G protein coupling and Gβγ signaling. </w:t>
      </w:r>
      <w:r w:rsidRPr="005F0839">
        <w:rPr>
          <w:i/>
          <w:iCs/>
        </w:rPr>
        <w:t>Neuroscience</w:t>
      </w:r>
      <w:r>
        <w:t xml:space="preserve"> </w:t>
      </w:r>
      <w:r w:rsidRPr="00F934FA">
        <w:t>135(1):247-61.</w:t>
      </w:r>
    </w:p>
    <w:p w14:paraId="12D69FAF" w14:textId="77777777" w:rsidR="00A501A4" w:rsidRPr="00F934FA" w:rsidRDefault="00A501A4" w:rsidP="00A501A4">
      <w:pPr>
        <w:pStyle w:val="EndNoteBibliography"/>
        <w:spacing w:after="0"/>
      </w:pPr>
      <w:r w:rsidRPr="00F934FA">
        <w:t>15.</w:t>
      </w:r>
      <w:r w:rsidRPr="00F934FA">
        <w:tab/>
        <w:t>Mao J, Price DD, Mayer DJ.</w:t>
      </w:r>
      <w:r>
        <w:t xml:space="preserve"> (1994)</w:t>
      </w:r>
      <w:r w:rsidRPr="00F934FA">
        <w:t xml:space="preserve"> Thermal hyperalgesia in association with the development of morphine tolerance in rats: roles of excitatory amino acid receptors and protein kinase C.</w:t>
      </w:r>
      <w:r w:rsidRPr="005F0839">
        <w:rPr>
          <w:i/>
          <w:iCs/>
        </w:rPr>
        <w:t xml:space="preserve"> Journal of Neuroscience</w:t>
      </w:r>
      <w:r>
        <w:t xml:space="preserve"> </w:t>
      </w:r>
      <w:r w:rsidRPr="00F934FA">
        <w:t>14(4):2301-12.</w:t>
      </w:r>
    </w:p>
    <w:p w14:paraId="4EB8B1C6" w14:textId="77777777" w:rsidR="00A501A4" w:rsidRPr="00F934FA" w:rsidRDefault="00A501A4" w:rsidP="00A501A4">
      <w:pPr>
        <w:pStyle w:val="EndNoteBibliography"/>
        <w:spacing w:after="0"/>
      </w:pPr>
      <w:r w:rsidRPr="00F934FA">
        <w:t>16.</w:t>
      </w:r>
      <w:r w:rsidRPr="00F934FA">
        <w:tab/>
        <w:t xml:space="preserve">Oladosu FA, Conrad MS, O’Buckley SC, Rashid NU, Slade GD, Nackley AG. </w:t>
      </w:r>
      <w:r>
        <w:t xml:space="preserve">(2015) </w:t>
      </w:r>
      <w:r w:rsidRPr="00F934FA">
        <w:t xml:space="preserve">Mu opioid splice variant MOR-1K contributes to the development of opioid-induced hyperalgesia. </w:t>
      </w:r>
      <w:r w:rsidRPr="003D04CB">
        <w:rPr>
          <w:i/>
          <w:iCs/>
        </w:rPr>
        <w:t>PloS one</w:t>
      </w:r>
      <w:r w:rsidRPr="00F934FA">
        <w:t xml:space="preserve"> 10(8):e0135711.</w:t>
      </w:r>
    </w:p>
    <w:p w14:paraId="1E88D16C" w14:textId="77777777" w:rsidR="00A501A4" w:rsidRPr="00F934FA" w:rsidRDefault="00A501A4" w:rsidP="00A501A4">
      <w:pPr>
        <w:pStyle w:val="EndNoteBibliography"/>
        <w:spacing w:after="0"/>
      </w:pPr>
      <w:r w:rsidRPr="00F934FA">
        <w:t>17.</w:t>
      </w:r>
      <w:r w:rsidRPr="00F934FA">
        <w:tab/>
        <w:t xml:space="preserve">Mao J. </w:t>
      </w:r>
      <w:r>
        <w:t xml:space="preserve">(2002) </w:t>
      </w:r>
      <w:r w:rsidRPr="00F934FA">
        <w:t xml:space="preserve">Opioid-induced abnormal pain sensitivity: implications in clinical opioid therapy. </w:t>
      </w:r>
      <w:r w:rsidRPr="005F0839">
        <w:rPr>
          <w:i/>
          <w:iCs/>
        </w:rPr>
        <w:t>Pain</w:t>
      </w:r>
      <w:r>
        <w:t xml:space="preserve"> </w:t>
      </w:r>
      <w:r w:rsidRPr="00F934FA">
        <w:t>100(3):213-7.</w:t>
      </w:r>
    </w:p>
    <w:p w14:paraId="01D6E392" w14:textId="77777777" w:rsidR="00A501A4" w:rsidRPr="00F934FA" w:rsidRDefault="00A501A4" w:rsidP="00A501A4">
      <w:pPr>
        <w:pStyle w:val="EndNoteBibliography"/>
        <w:spacing w:after="0"/>
      </w:pPr>
      <w:r w:rsidRPr="00F934FA">
        <w:t>18.</w:t>
      </w:r>
      <w:r w:rsidRPr="00F934FA">
        <w:tab/>
        <w:t xml:space="preserve">Hong Y, Wang D, Chabot J-G, Ma W, Chen P, Quirion R. </w:t>
      </w:r>
      <w:r>
        <w:t xml:space="preserve">(2010) </w:t>
      </w:r>
      <w:r w:rsidRPr="00F934FA">
        <w:t xml:space="preserve">A role for protein kinase C-dependent upregulation of adrenomedullin in the development of morphine tolerance in male rats. </w:t>
      </w:r>
      <w:r w:rsidRPr="003D04CB">
        <w:rPr>
          <w:i/>
          <w:iCs/>
        </w:rPr>
        <w:t>Journal of Neuroscience</w:t>
      </w:r>
      <w:r>
        <w:t xml:space="preserve"> </w:t>
      </w:r>
      <w:r w:rsidRPr="00F934FA">
        <w:t>30(37):12508-16.</w:t>
      </w:r>
    </w:p>
    <w:p w14:paraId="2BE50885" w14:textId="77777777" w:rsidR="00A501A4" w:rsidRPr="00F934FA" w:rsidRDefault="00A501A4" w:rsidP="00A501A4">
      <w:pPr>
        <w:pStyle w:val="EndNoteBibliography"/>
        <w:spacing w:after="0"/>
      </w:pPr>
      <w:r w:rsidRPr="00F934FA">
        <w:t>19.</w:t>
      </w:r>
      <w:r w:rsidRPr="00F934FA">
        <w:tab/>
        <w:t>Powell KJ, Ma W, Sutak M, Doods H, Quirion R, Jhamandas K.</w:t>
      </w:r>
      <w:r>
        <w:t xml:space="preserve"> (2000) </w:t>
      </w:r>
      <w:r w:rsidRPr="00F934FA">
        <w:t xml:space="preserve">Blockade and reversal of spinal morphine tolerance by peptide and non‐peptide calcitonin gene‐related peptide receptor antagonists. </w:t>
      </w:r>
      <w:r w:rsidRPr="003D04CB">
        <w:rPr>
          <w:i/>
          <w:iCs/>
        </w:rPr>
        <w:t>British journal of pharmacology</w:t>
      </w:r>
      <w:r>
        <w:t xml:space="preserve"> </w:t>
      </w:r>
      <w:r w:rsidRPr="00F934FA">
        <w:t>131(5):875-84.</w:t>
      </w:r>
    </w:p>
    <w:p w14:paraId="0C849DCE" w14:textId="77777777" w:rsidR="00A501A4" w:rsidRPr="00F934FA" w:rsidRDefault="00A501A4" w:rsidP="00A501A4">
      <w:pPr>
        <w:pStyle w:val="EndNoteBibliography"/>
        <w:spacing w:after="0"/>
      </w:pPr>
      <w:r w:rsidRPr="00F934FA">
        <w:t>20.</w:t>
      </w:r>
      <w:r w:rsidRPr="00F934FA">
        <w:tab/>
        <w:t xml:space="preserve">Gu G, Kondo I, Hua X-Y, Yaksh TL. </w:t>
      </w:r>
      <w:r>
        <w:t xml:space="preserve">(2005) </w:t>
      </w:r>
      <w:r w:rsidRPr="00F934FA">
        <w:t xml:space="preserve">Resting and evoked spinal substance P release during chronic intrathecal morphine infusion: parallels with tolerance and dependence. </w:t>
      </w:r>
      <w:r w:rsidRPr="003D04CB">
        <w:rPr>
          <w:i/>
          <w:iCs/>
        </w:rPr>
        <w:t>Journal of Pharmacology and Experimental Therapeutics</w:t>
      </w:r>
      <w:r>
        <w:t xml:space="preserve"> </w:t>
      </w:r>
      <w:r w:rsidRPr="00F934FA">
        <w:t>314(3):1362-9.</w:t>
      </w:r>
    </w:p>
    <w:p w14:paraId="56A696E4" w14:textId="77777777" w:rsidR="00A501A4" w:rsidRPr="00F934FA" w:rsidRDefault="00A501A4" w:rsidP="00A501A4">
      <w:pPr>
        <w:pStyle w:val="EndNoteBibliography"/>
        <w:spacing w:after="0"/>
      </w:pPr>
      <w:r w:rsidRPr="00F934FA">
        <w:t>21.</w:t>
      </w:r>
      <w:r w:rsidRPr="00F934FA">
        <w:tab/>
        <w:t xml:space="preserve">Song L, Wu C, Zuo Y. </w:t>
      </w:r>
      <w:r>
        <w:t xml:space="preserve">(2015) </w:t>
      </w:r>
      <w:r w:rsidRPr="00F934FA">
        <w:t xml:space="preserve">Melatonin prevents morphine-induced hyperalgesia and tolerance in rats: role of protein kinase C and N-methyl-D-aspartate receptors. </w:t>
      </w:r>
      <w:r w:rsidRPr="00C36297">
        <w:rPr>
          <w:i/>
          <w:iCs/>
        </w:rPr>
        <w:t>BMC anesthesiology</w:t>
      </w:r>
      <w:r>
        <w:t xml:space="preserve"> </w:t>
      </w:r>
      <w:r w:rsidRPr="00F934FA">
        <w:t>15(1):12.</w:t>
      </w:r>
    </w:p>
    <w:p w14:paraId="4FF7855D" w14:textId="77777777" w:rsidR="00A501A4" w:rsidRPr="00F934FA" w:rsidRDefault="00A501A4" w:rsidP="00A501A4">
      <w:pPr>
        <w:pStyle w:val="EndNoteBibliography"/>
        <w:spacing w:after="0"/>
      </w:pPr>
      <w:r w:rsidRPr="00F934FA">
        <w:t>22.</w:t>
      </w:r>
      <w:r w:rsidRPr="00F934FA">
        <w:tab/>
        <w:t xml:space="preserve">Lin S-L, Tsai R-Y, Shen C-H, Lin F-H, Wang J-J, Hsin S-T, et al. </w:t>
      </w:r>
      <w:r>
        <w:t xml:space="preserve">(2010) </w:t>
      </w:r>
      <w:r w:rsidRPr="00F934FA">
        <w:t>Co-administration of ultra-low dose naloxone attenuates morphine tolerance in rats via attenuation of NMDA receptor neurotransmission and suppression of neuroinflammation in the spinal cords.</w:t>
      </w:r>
      <w:r w:rsidRPr="00C36297">
        <w:rPr>
          <w:i/>
          <w:iCs/>
        </w:rPr>
        <w:t xml:space="preserve"> Pharmacology Biochemistry and Behavior</w:t>
      </w:r>
      <w:r>
        <w:t xml:space="preserve"> </w:t>
      </w:r>
      <w:r w:rsidRPr="00F934FA">
        <w:t>96(2):236-45.</w:t>
      </w:r>
    </w:p>
    <w:p w14:paraId="65C42723" w14:textId="77777777" w:rsidR="00A501A4" w:rsidRPr="00F934FA" w:rsidRDefault="00A501A4" w:rsidP="00A501A4">
      <w:pPr>
        <w:pStyle w:val="EndNoteBibliography"/>
        <w:spacing w:after="0"/>
      </w:pPr>
      <w:r w:rsidRPr="00F934FA">
        <w:t>23.</w:t>
      </w:r>
      <w:r w:rsidRPr="00F934FA">
        <w:tab/>
        <w:t>Crain SM, Shen K-F.</w:t>
      </w:r>
      <w:r>
        <w:t xml:space="preserve"> (1995)</w:t>
      </w:r>
      <w:r w:rsidRPr="00F934FA">
        <w:t xml:space="preserve"> Ultra-low concentrations of naloxone selectively antagonize excitatory effects of morphine on sensory neurons, thereby increasing its antinociceptive potency and attenuating tolerance/dependence during chronic cotreatment. </w:t>
      </w:r>
      <w:r w:rsidRPr="00C36297">
        <w:rPr>
          <w:i/>
          <w:iCs/>
        </w:rPr>
        <w:t>Proceedings of the National Academy of Sciences</w:t>
      </w:r>
      <w:r w:rsidRPr="00F934FA">
        <w:t xml:space="preserve"> 92(23):10540-4.</w:t>
      </w:r>
    </w:p>
    <w:p w14:paraId="311E4833" w14:textId="77777777" w:rsidR="00A501A4" w:rsidRPr="00F934FA" w:rsidRDefault="00A501A4" w:rsidP="00A501A4">
      <w:pPr>
        <w:pStyle w:val="EndNoteBibliography"/>
        <w:spacing w:after="0"/>
      </w:pPr>
      <w:r w:rsidRPr="00F934FA">
        <w:t>24.</w:t>
      </w:r>
      <w:r w:rsidRPr="00F934FA">
        <w:tab/>
        <w:t xml:space="preserve">Mao J, Mayer DJ. </w:t>
      </w:r>
      <w:r>
        <w:t xml:space="preserve">(2001) </w:t>
      </w:r>
      <w:r w:rsidRPr="00F934FA">
        <w:t xml:space="preserve">Spinal cord neuroplasticity following repeated opioid exposure and its relation to pathological pain. </w:t>
      </w:r>
      <w:r w:rsidRPr="00C36297">
        <w:rPr>
          <w:i/>
          <w:iCs/>
        </w:rPr>
        <w:t>Annals of the New York Academy of Sciences</w:t>
      </w:r>
      <w:r>
        <w:t xml:space="preserve"> </w:t>
      </w:r>
      <w:r w:rsidRPr="00F934FA">
        <w:t>933(1):175-84.</w:t>
      </w:r>
    </w:p>
    <w:p w14:paraId="71C4A83D" w14:textId="77777777" w:rsidR="00A501A4" w:rsidRPr="00F934FA" w:rsidRDefault="00A501A4" w:rsidP="00A501A4">
      <w:pPr>
        <w:pStyle w:val="EndNoteBibliography"/>
        <w:spacing w:after="0"/>
      </w:pPr>
      <w:r w:rsidRPr="00F934FA">
        <w:t>25.</w:t>
      </w:r>
      <w:r w:rsidRPr="00F934FA">
        <w:tab/>
        <w:t xml:space="preserve">Crain SM, Shen K-F. </w:t>
      </w:r>
      <w:r>
        <w:t xml:space="preserve">(2000) </w:t>
      </w:r>
      <w:r w:rsidRPr="00F934FA">
        <w:t xml:space="preserve">Antagonists of excitatory opioid receptor functions enhance morphine's analgesic potency and attenuate opioid tolerance/dependence liability. </w:t>
      </w:r>
      <w:r w:rsidRPr="00C36297">
        <w:rPr>
          <w:i/>
          <w:iCs/>
        </w:rPr>
        <w:t>PAIN</w:t>
      </w:r>
      <w:r>
        <w:t xml:space="preserve"> </w:t>
      </w:r>
      <w:r w:rsidRPr="00F934FA">
        <w:t>84(2-3):121-31.</w:t>
      </w:r>
    </w:p>
    <w:p w14:paraId="20771297" w14:textId="77777777" w:rsidR="00A501A4" w:rsidRPr="00F934FA" w:rsidRDefault="00A501A4" w:rsidP="00A501A4">
      <w:pPr>
        <w:pStyle w:val="EndNoteBibliography"/>
        <w:spacing w:after="0"/>
      </w:pPr>
      <w:r w:rsidRPr="00F934FA">
        <w:t>26.</w:t>
      </w:r>
      <w:r w:rsidRPr="00F934FA">
        <w:tab/>
        <w:t xml:space="preserve">Ueda H, Fukushima N, Kitao T, Ge M, Takagi H. </w:t>
      </w:r>
      <w:r>
        <w:t xml:space="preserve">(1986) </w:t>
      </w:r>
      <w:r w:rsidRPr="00F934FA">
        <w:t xml:space="preserve">Low doses of naloxone produce analgesia in the mouse brain by blocking presynaptic autoinhibition of enkephalin release. </w:t>
      </w:r>
      <w:r w:rsidRPr="00C36297">
        <w:rPr>
          <w:i/>
          <w:iCs/>
        </w:rPr>
        <w:t>Neuroscience letters</w:t>
      </w:r>
      <w:r w:rsidRPr="00F934FA">
        <w:t xml:space="preserve"> 65(3):247-52.</w:t>
      </w:r>
    </w:p>
    <w:p w14:paraId="1310EA06" w14:textId="77777777" w:rsidR="00A501A4" w:rsidRPr="00F934FA" w:rsidRDefault="00A501A4" w:rsidP="00A501A4">
      <w:pPr>
        <w:pStyle w:val="EndNoteBibliography"/>
        <w:spacing w:after="0"/>
      </w:pPr>
      <w:r w:rsidRPr="00F934FA">
        <w:t>27.</w:t>
      </w:r>
      <w:r w:rsidRPr="00F934FA">
        <w:tab/>
        <w:t xml:space="preserve">Wang H-Y, Frankfurt M, Burns LH. </w:t>
      </w:r>
      <w:r>
        <w:t xml:space="preserve">(2008) </w:t>
      </w:r>
      <w:r w:rsidRPr="00F934FA">
        <w:t xml:space="preserve">High-affinity naloxone binding to filamin A prevents mu opioid Receptor–Gs coupling underlying opioid tolerance and dependence. </w:t>
      </w:r>
      <w:r w:rsidRPr="00C36297">
        <w:rPr>
          <w:i/>
          <w:iCs/>
        </w:rPr>
        <w:t>PloS one</w:t>
      </w:r>
      <w:r>
        <w:t xml:space="preserve"> </w:t>
      </w:r>
      <w:r w:rsidRPr="00F934FA">
        <w:t>3(2):e1554.</w:t>
      </w:r>
    </w:p>
    <w:p w14:paraId="0AEEA061" w14:textId="77777777" w:rsidR="00A501A4" w:rsidRPr="00F934FA" w:rsidRDefault="00A501A4" w:rsidP="00A501A4">
      <w:pPr>
        <w:pStyle w:val="EndNoteBibliography"/>
        <w:spacing w:after="0"/>
      </w:pPr>
      <w:r w:rsidRPr="00F934FA">
        <w:t>28.</w:t>
      </w:r>
      <w:r w:rsidRPr="00F934FA">
        <w:tab/>
        <w:t xml:space="preserve">Wang H-Y, Burns LH. </w:t>
      </w:r>
      <w:r>
        <w:t xml:space="preserve">(2009) </w:t>
      </w:r>
      <w:r w:rsidRPr="00F934FA">
        <w:t xml:space="preserve">Naloxone's pentapeptide binding site on filamin A blocks mu opioid receptor–Gs coupling and CREB activation of acute morphine. </w:t>
      </w:r>
      <w:r w:rsidRPr="00C36297">
        <w:rPr>
          <w:i/>
          <w:iCs/>
        </w:rPr>
        <w:t>PloS one</w:t>
      </w:r>
      <w:r>
        <w:t xml:space="preserve"> </w:t>
      </w:r>
      <w:r w:rsidRPr="00F934FA">
        <w:t>4(1):e4282.</w:t>
      </w:r>
    </w:p>
    <w:p w14:paraId="7F8B658D" w14:textId="77777777" w:rsidR="00A501A4" w:rsidRPr="00F934FA" w:rsidRDefault="00A501A4" w:rsidP="00A501A4">
      <w:pPr>
        <w:pStyle w:val="EndNoteBibliography"/>
        <w:spacing w:after="0"/>
      </w:pPr>
      <w:r w:rsidRPr="00F934FA">
        <w:t>29.</w:t>
      </w:r>
      <w:r w:rsidRPr="00F934FA">
        <w:tab/>
        <w:t xml:space="preserve">Yang C-P, Cherng C-H, Wu C-T, Huang H-Y, Tao P-L, Lee S-O, et al. </w:t>
      </w:r>
      <w:r>
        <w:t xml:space="preserve">(2013) </w:t>
      </w:r>
      <w:r w:rsidRPr="00F934FA">
        <w:t xml:space="preserve">Intrathecal ultra-low dose naloxone enhances the antihyperalgesic effects of morphine and attenuates tumor necrosis factor-α and tumor necrosis factor-α receptor 1 expression in the dorsal horn of rats with partial sciatic nerve transection. </w:t>
      </w:r>
      <w:r w:rsidRPr="00C36297">
        <w:rPr>
          <w:i/>
          <w:iCs/>
        </w:rPr>
        <w:t>Anesthesia &amp; Analgesia</w:t>
      </w:r>
      <w:r>
        <w:t xml:space="preserve"> </w:t>
      </w:r>
      <w:r w:rsidRPr="00F934FA">
        <w:t>117(6):1493-502.</w:t>
      </w:r>
    </w:p>
    <w:p w14:paraId="21C3DAE5" w14:textId="77777777" w:rsidR="00A501A4" w:rsidRPr="00F934FA" w:rsidRDefault="00A501A4" w:rsidP="00A501A4">
      <w:pPr>
        <w:pStyle w:val="EndNoteBibliography"/>
        <w:spacing w:after="0"/>
      </w:pPr>
      <w:r w:rsidRPr="00F934FA">
        <w:t>30.</w:t>
      </w:r>
      <w:r w:rsidRPr="00F934FA">
        <w:tab/>
        <w:t xml:space="preserve">Hübner CA, Stein V, Hermans-Borgmeyer I, Meyer T, Ballanyi K, Jentsch TJ. </w:t>
      </w:r>
      <w:r>
        <w:t xml:space="preserve">(2001) </w:t>
      </w:r>
      <w:r w:rsidRPr="00F934FA">
        <w:t xml:space="preserve">Disruption of KCC2 reveals an essential role of K-Cl cotransport already in early synaptic inhibition. </w:t>
      </w:r>
      <w:r w:rsidRPr="00C36297">
        <w:rPr>
          <w:i/>
          <w:iCs/>
        </w:rPr>
        <w:t>Neuron</w:t>
      </w:r>
      <w:r>
        <w:t xml:space="preserve"> </w:t>
      </w:r>
      <w:r w:rsidRPr="00F934FA">
        <w:t>30(2):515-24.</w:t>
      </w:r>
    </w:p>
    <w:p w14:paraId="71B142A7" w14:textId="77777777" w:rsidR="00A501A4" w:rsidRPr="00F934FA" w:rsidRDefault="00A501A4" w:rsidP="00A501A4">
      <w:pPr>
        <w:pStyle w:val="EndNoteBibliography"/>
        <w:spacing w:after="0"/>
      </w:pPr>
      <w:r w:rsidRPr="00F934FA">
        <w:t>31.</w:t>
      </w:r>
      <w:r w:rsidRPr="00F934FA">
        <w:tab/>
        <w:t xml:space="preserve">Kakazu Y, Uchida S, Nakagawa T, Akaike N, Nabekura J. </w:t>
      </w:r>
      <w:r>
        <w:t xml:space="preserve">(2000) </w:t>
      </w:r>
      <w:r w:rsidRPr="00F934FA">
        <w:t xml:space="preserve">Reversibility and cation selectivity of the K+-Cl− cotransport in rat central neurons. </w:t>
      </w:r>
      <w:r w:rsidRPr="00C36297">
        <w:rPr>
          <w:i/>
          <w:iCs/>
        </w:rPr>
        <w:t>Journal of Neurophysiology</w:t>
      </w:r>
      <w:r>
        <w:t xml:space="preserve"> </w:t>
      </w:r>
      <w:r w:rsidRPr="00F934FA">
        <w:t>84(1):281-8.</w:t>
      </w:r>
    </w:p>
    <w:p w14:paraId="3856FB1A" w14:textId="77777777" w:rsidR="00A501A4" w:rsidRPr="00F934FA" w:rsidRDefault="00A501A4" w:rsidP="00A501A4">
      <w:pPr>
        <w:pStyle w:val="EndNoteBibliography"/>
        <w:spacing w:after="0"/>
      </w:pPr>
      <w:r w:rsidRPr="00F934FA">
        <w:t>32.</w:t>
      </w:r>
      <w:r w:rsidRPr="00F934FA">
        <w:tab/>
        <w:t>Xiao Y, Wu L, Zhou Q, Xiong W, Duan X, Huang X.</w:t>
      </w:r>
      <w:r>
        <w:t xml:space="preserve"> (2015)</w:t>
      </w:r>
      <w:r w:rsidRPr="00F934FA">
        <w:t xml:space="preserve"> A randomized clinical trial of the effects of ultra‐low‐dose naloxone infusion on postoperative opioid requirements and recovery. </w:t>
      </w:r>
      <w:r w:rsidRPr="00C36297">
        <w:rPr>
          <w:i/>
          <w:iCs/>
        </w:rPr>
        <w:t>Acta Anaesthesiologica Scandinavica</w:t>
      </w:r>
      <w:r>
        <w:t xml:space="preserve"> </w:t>
      </w:r>
      <w:r w:rsidRPr="00F934FA">
        <w:t>59(9):1194-203.</w:t>
      </w:r>
    </w:p>
    <w:p w14:paraId="7BEBE6CA" w14:textId="77777777" w:rsidR="00A501A4" w:rsidRPr="00F934FA" w:rsidRDefault="00A501A4" w:rsidP="00A501A4">
      <w:pPr>
        <w:pStyle w:val="EndNoteBibliography"/>
        <w:spacing w:after="0"/>
      </w:pPr>
      <w:r w:rsidRPr="00F934FA">
        <w:t>33.</w:t>
      </w:r>
      <w:r w:rsidRPr="00F934FA">
        <w:tab/>
        <w:t xml:space="preserve">Amer AF, Omara AF. </w:t>
      </w:r>
      <w:r>
        <w:t xml:space="preserve">(2019) </w:t>
      </w:r>
      <w:r w:rsidRPr="00F934FA">
        <w:t xml:space="preserve">Small dose of naloxone as an adjuvant to bupivacaine in intrapleural infiltration after thoracotomy surgery: a prospective, controlled study. </w:t>
      </w:r>
      <w:r w:rsidRPr="00C36297">
        <w:rPr>
          <w:i/>
          <w:iCs/>
        </w:rPr>
        <w:t>The Korean journal of pain</w:t>
      </w:r>
      <w:r w:rsidRPr="00F934FA">
        <w:t xml:space="preserve"> 32(2):105.</w:t>
      </w:r>
    </w:p>
    <w:p w14:paraId="2401C520" w14:textId="77777777" w:rsidR="00A501A4" w:rsidRPr="00F934FA" w:rsidRDefault="00A501A4" w:rsidP="00A501A4">
      <w:pPr>
        <w:pStyle w:val="EndNoteBibliography"/>
        <w:spacing w:after="0"/>
      </w:pPr>
      <w:r w:rsidRPr="00F934FA">
        <w:t>34.</w:t>
      </w:r>
      <w:r w:rsidRPr="00F934FA">
        <w:tab/>
        <w:t>Hosseininejad SM, Amiri MM, Bozorgi F, Montazar SH, Firouzian A, Moosazadeh M, et al.</w:t>
      </w:r>
      <w:r>
        <w:t xml:space="preserve"> (2019)</w:t>
      </w:r>
      <w:r w:rsidRPr="00F934FA">
        <w:t xml:space="preserve"> Does co-treatment with ultra-low-dose naloxone and morphine provide better analgesia in renal colic patients? </w:t>
      </w:r>
      <w:r w:rsidRPr="00C36297">
        <w:rPr>
          <w:i/>
          <w:iCs/>
        </w:rPr>
        <w:t>The American journal of emergency medicine</w:t>
      </w:r>
      <w:r>
        <w:t xml:space="preserve"> </w:t>
      </w:r>
      <w:r w:rsidRPr="00F934FA">
        <w:t>37(6):1025-32.</w:t>
      </w:r>
    </w:p>
    <w:p w14:paraId="72F42C45" w14:textId="77777777" w:rsidR="00A501A4" w:rsidRPr="00F934FA" w:rsidRDefault="00A501A4" w:rsidP="00A501A4">
      <w:pPr>
        <w:pStyle w:val="EndNoteBibliography"/>
        <w:spacing w:after="0"/>
      </w:pPr>
      <w:r w:rsidRPr="00F934FA">
        <w:t>35.</w:t>
      </w:r>
      <w:r w:rsidRPr="00F934FA">
        <w:tab/>
        <w:t xml:space="preserve">Takayama N, Ueda H. </w:t>
      </w:r>
      <w:r>
        <w:t xml:space="preserve">(2005) </w:t>
      </w:r>
      <w:r w:rsidRPr="00F934FA">
        <w:t xml:space="preserve">Morphine-induced chemotaxis and brain-derived neurotrophic factor expression in microglia. </w:t>
      </w:r>
      <w:r w:rsidRPr="00EC30F8">
        <w:rPr>
          <w:i/>
          <w:iCs/>
        </w:rPr>
        <w:t>J Neurosci</w:t>
      </w:r>
      <w:r>
        <w:t xml:space="preserve"> </w:t>
      </w:r>
      <w:r w:rsidRPr="00F934FA">
        <w:t>25(2):430-5.</w:t>
      </w:r>
    </w:p>
    <w:p w14:paraId="1C53567E" w14:textId="77777777" w:rsidR="00A501A4" w:rsidRPr="00F934FA" w:rsidRDefault="00A501A4" w:rsidP="00A501A4">
      <w:pPr>
        <w:pStyle w:val="EndNoteBibliography"/>
        <w:spacing w:after="0"/>
      </w:pPr>
      <w:r w:rsidRPr="00F934FA">
        <w:lastRenderedPageBreak/>
        <w:t>36.</w:t>
      </w:r>
      <w:r w:rsidRPr="00F934FA">
        <w:tab/>
        <w:t xml:space="preserve">Mattioli T-AM, Milne B, Cahill CM. </w:t>
      </w:r>
      <w:r>
        <w:t xml:space="preserve">(2010) </w:t>
      </w:r>
      <w:r w:rsidRPr="00F934FA">
        <w:t xml:space="preserve">Ultra-low dose naltrexone attenuates chronic morphine-induced gliosis in rats. </w:t>
      </w:r>
      <w:r w:rsidRPr="00EC30F8">
        <w:rPr>
          <w:i/>
          <w:iCs/>
        </w:rPr>
        <w:t>Molecular pain</w:t>
      </w:r>
      <w:r>
        <w:t xml:space="preserve"> </w:t>
      </w:r>
      <w:r w:rsidRPr="00F934FA">
        <w:t>6(1):22.</w:t>
      </w:r>
    </w:p>
    <w:p w14:paraId="4429EA54" w14:textId="32F135B9" w:rsidR="00A501A4" w:rsidRDefault="00A501A4" w:rsidP="00A501A4">
      <w:pPr>
        <w:pStyle w:val="EndNoteBibliography"/>
      </w:pPr>
      <w:r w:rsidRPr="00F934FA">
        <w:t>37.</w:t>
      </w:r>
      <w:r w:rsidRPr="00F934FA">
        <w:tab/>
        <w:t xml:space="preserve">Liu B, Hong J-S. </w:t>
      </w:r>
      <w:r>
        <w:t xml:space="preserve">(2003) </w:t>
      </w:r>
      <w:r w:rsidRPr="00F934FA">
        <w:t xml:space="preserve">Role of microglia in inflammation-mediated neurodegenerative diseases: mechanisms and strategies for therapeutic intervention. </w:t>
      </w:r>
      <w:r w:rsidRPr="00EC30F8">
        <w:rPr>
          <w:i/>
          <w:iCs/>
        </w:rPr>
        <w:t>Journal of Pharmacology and Experimental Therapeutics</w:t>
      </w:r>
      <w:r>
        <w:t xml:space="preserve"> </w:t>
      </w:r>
      <w:r w:rsidRPr="00F934FA">
        <w:t>304(1):1-7.</w:t>
      </w:r>
    </w:p>
    <w:p w14:paraId="6AA6C941" w14:textId="1B83B4A8" w:rsidR="008439C3" w:rsidRDefault="008439C3" w:rsidP="00A501A4">
      <w:pPr>
        <w:pStyle w:val="EndNoteBibliography"/>
      </w:pPr>
    </w:p>
    <w:p w14:paraId="26B6560B" w14:textId="3C0FA2A3" w:rsidR="008439C3" w:rsidRDefault="008439C3" w:rsidP="00A501A4">
      <w:pPr>
        <w:pStyle w:val="EndNoteBibliography"/>
      </w:pPr>
    </w:p>
    <w:p w14:paraId="3EDF1B5C" w14:textId="10297197" w:rsidR="008439C3" w:rsidRDefault="008439C3" w:rsidP="00A501A4">
      <w:pPr>
        <w:pStyle w:val="EndNoteBibliography"/>
      </w:pPr>
    </w:p>
    <w:p w14:paraId="20F7672E" w14:textId="4E3E0176" w:rsidR="008439C3" w:rsidRDefault="008439C3" w:rsidP="00A501A4">
      <w:pPr>
        <w:pStyle w:val="EndNoteBibliography"/>
      </w:pPr>
    </w:p>
    <w:p w14:paraId="3BCAFD16" w14:textId="755BFA13" w:rsidR="008439C3" w:rsidRDefault="008439C3" w:rsidP="00A501A4">
      <w:pPr>
        <w:pStyle w:val="EndNoteBibliography"/>
      </w:pPr>
    </w:p>
    <w:p w14:paraId="649596DF" w14:textId="59C9DF79" w:rsidR="008439C3" w:rsidRDefault="008439C3" w:rsidP="00A501A4">
      <w:pPr>
        <w:pStyle w:val="EndNoteBibliography"/>
      </w:pPr>
    </w:p>
    <w:p w14:paraId="308F0577" w14:textId="79D17E45" w:rsidR="008439C3" w:rsidRDefault="008439C3" w:rsidP="00A501A4">
      <w:pPr>
        <w:pStyle w:val="EndNoteBibliography"/>
      </w:pPr>
    </w:p>
    <w:p w14:paraId="74E60750" w14:textId="37B377C8" w:rsidR="008439C3" w:rsidRDefault="008439C3" w:rsidP="00A501A4">
      <w:pPr>
        <w:pStyle w:val="EndNoteBibliography"/>
      </w:pPr>
    </w:p>
    <w:p w14:paraId="7B0706E6" w14:textId="57A09E30" w:rsidR="008439C3" w:rsidRDefault="008439C3" w:rsidP="00A501A4">
      <w:pPr>
        <w:pStyle w:val="EndNoteBibliography"/>
      </w:pPr>
    </w:p>
    <w:p w14:paraId="47E1825C" w14:textId="3152E4FB" w:rsidR="008439C3" w:rsidRDefault="008439C3" w:rsidP="00A501A4">
      <w:pPr>
        <w:pStyle w:val="EndNoteBibliography"/>
      </w:pPr>
    </w:p>
    <w:p w14:paraId="542737B1" w14:textId="7F905837" w:rsidR="008439C3" w:rsidRDefault="008439C3" w:rsidP="00A501A4">
      <w:pPr>
        <w:pStyle w:val="EndNoteBibliography"/>
      </w:pPr>
    </w:p>
    <w:p w14:paraId="5F952ACB" w14:textId="78978E7A" w:rsidR="008439C3" w:rsidRDefault="008439C3" w:rsidP="00A501A4">
      <w:pPr>
        <w:pStyle w:val="EndNoteBibliography"/>
      </w:pPr>
    </w:p>
    <w:p w14:paraId="6941CB44" w14:textId="3F2EF003" w:rsidR="008439C3" w:rsidRDefault="008439C3" w:rsidP="00A501A4">
      <w:pPr>
        <w:pStyle w:val="EndNoteBibliography"/>
      </w:pPr>
    </w:p>
    <w:p w14:paraId="0B24A3EE" w14:textId="17B193E4" w:rsidR="008439C3" w:rsidRDefault="008439C3" w:rsidP="00A501A4">
      <w:pPr>
        <w:pStyle w:val="EndNoteBibliography"/>
      </w:pPr>
    </w:p>
    <w:p w14:paraId="12834EAC" w14:textId="526DE2D7" w:rsidR="008439C3" w:rsidRDefault="008439C3" w:rsidP="00A501A4">
      <w:pPr>
        <w:pStyle w:val="EndNoteBibliography"/>
      </w:pPr>
    </w:p>
    <w:p w14:paraId="5CA44173" w14:textId="246FAF79" w:rsidR="008439C3" w:rsidRDefault="008439C3" w:rsidP="00A501A4">
      <w:pPr>
        <w:pStyle w:val="EndNoteBibliography"/>
      </w:pPr>
    </w:p>
    <w:p w14:paraId="6BAB6E80" w14:textId="2ABB1186" w:rsidR="008439C3" w:rsidRDefault="008439C3" w:rsidP="00A501A4">
      <w:pPr>
        <w:pStyle w:val="EndNoteBibliography"/>
      </w:pPr>
    </w:p>
    <w:p w14:paraId="659C003E" w14:textId="2CC23E10" w:rsidR="008439C3" w:rsidRDefault="008439C3" w:rsidP="00A501A4">
      <w:pPr>
        <w:pStyle w:val="EndNoteBibliography"/>
      </w:pPr>
    </w:p>
    <w:p w14:paraId="32D3C919" w14:textId="01D6A365" w:rsidR="008439C3" w:rsidRDefault="008439C3" w:rsidP="00A501A4">
      <w:pPr>
        <w:pStyle w:val="EndNoteBibliography"/>
      </w:pPr>
    </w:p>
    <w:p w14:paraId="22470EF8" w14:textId="1B15F932" w:rsidR="008439C3" w:rsidRDefault="008439C3" w:rsidP="00A501A4">
      <w:pPr>
        <w:pStyle w:val="EndNoteBibliography"/>
      </w:pPr>
    </w:p>
    <w:p w14:paraId="3505A704" w14:textId="34E5129B" w:rsidR="008439C3" w:rsidRDefault="008439C3" w:rsidP="00A501A4">
      <w:pPr>
        <w:pStyle w:val="EndNoteBibliography"/>
      </w:pPr>
    </w:p>
    <w:p w14:paraId="53078918" w14:textId="63232DD1" w:rsidR="008439C3" w:rsidRDefault="008439C3" w:rsidP="00A501A4">
      <w:pPr>
        <w:pStyle w:val="EndNoteBibliography"/>
      </w:pPr>
    </w:p>
    <w:p w14:paraId="57A18B6F" w14:textId="6B6EF95D" w:rsidR="008439C3" w:rsidRDefault="008439C3" w:rsidP="00A501A4">
      <w:pPr>
        <w:pStyle w:val="EndNoteBibliography"/>
      </w:pPr>
    </w:p>
    <w:p w14:paraId="1B614F09" w14:textId="7F21D59F" w:rsidR="008439C3" w:rsidRDefault="008439C3" w:rsidP="00A501A4">
      <w:pPr>
        <w:pStyle w:val="EndNoteBibliography"/>
      </w:pPr>
    </w:p>
    <w:p w14:paraId="500D2E4B" w14:textId="24B5E510" w:rsidR="008439C3" w:rsidRDefault="008439C3" w:rsidP="00A501A4">
      <w:pPr>
        <w:pStyle w:val="EndNoteBibliography"/>
      </w:pPr>
    </w:p>
    <w:p w14:paraId="71216D47" w14:textId="2A6A2E29" w:rsidR="008439C3" w:rsidRDefault="008439C3" w:rsidP="00A501A4">
      <w:pPr>
        <w:pStyle w:val="EndNoteBibliography"/>
      </w:pPr>
    </w:p>
    <w:p w14:paraId="4679ADFD" w14:textId="4514AD9C" w:rsidR="008439C3" w:rsidRDefault="008439C3" w:rsidP="00A501A4">
      <w:pPr>
        <w:pStyle w:val="EndNoteBibliography"/>
      </w:pPr>
    </w:p>
    <w:p w14:paraId="45550653" w14:textId="69E07105" w:rsidR="008439C3" w:rsidRDefault="008439C3" w:rsidP="00A501A4">
      <w:pPr>
        <w:pStyle w:val="EndNoteBibliography"/>
      </w:pPr>
    </w:p>
    <w:p w14:paraId="625CC8F9" w14:textId="1C96D179" w:rsidR="008439C3" w:rsidRDefault="008439C3" w:rsidP="00A501A4">
      <w:pPr>
        <w:pStyle w:val="EndNoteBibliography"/>
      </w:pPr>
    </w:p>
    <w:p w14:paraId="60EEE0B4" w14:textId="472F39C0" w:rsidR="008439C3" w:rsidRDefault="008439C3" w:rsidP="00A501A4">
      <w:pPr>
        <w:pStyle w:val="EndNoteBibliography"/>
      </w:pPr>
    </w:p>
    <w:p w14:paraId="79C744DA" w14:textId="6CA951AF" w:rsidR="008439C3" w:rsidRDefault="008439C3" w:rsidP="00A501A4">
      <w:pPr>
        <w:pStyle w:val="EndNoteBibliography"/>
      </w:pPr>
    </w:p>
    <w:p w14:paraId="57BEAAC2" w14:textId="48A9B44F" w:rsidR="008439C3" w:rsidRDefault="008439C3" w:rsidP="00A501A4">
      <w:pPr>
        <w:pStyle w:val="EndNoteBibliography"/>
      </w:pPr>
    </w:p>
    <w:p w14:paraId="14DC7762" w14:textId="77777777" w:rsidR="008439C3" w:rsidRPr="00A37B6A" w:rsidRDefault="008439C3" w:rsidP="008439C3">
      <w:pPr>
        <w:spacing w:line="480" w:lineRule="auto"/>
        <w:jc w:val="center"/>
        <w:rPr>
          <w:rFonts w:asciiTheme="majorBidi" w:hAnsiTheme="majorBidi" w:cstheme="majorBidi"/>
          <w:b/>
          <w:bCs/>
          <w:color w:val="222222"/>
          <w:sz w:val="24"/>
          <w:szCs w:val="24"/>
        </w:rPr>
      </w:pPr>
      <w:bookmarkStart w:id="6" w:name="_Hlk32347440"/>
      <w:r>
        <w:rPr>
          <w:rFonts w:asciiTheme="majorBidi" w:hAnsiTheme="majorBidi" w:cstheme="majorBidi"/>
          <w:b/>
          <w:bCs/>
          <w:color w:val="222222"/>
          <w:sz w:val="24"/>
          <w:szCs w:val="24"/>
        </w:rPr>
        <w:lastRenderedPageBreak/>
        <w:t>I</w:t>
      </w:r>
      <w:r w:rsidRPr="00A37B6A">
        <w:rPr>
          <w:rFonts w:asciiTheme="majorBidi" w:hAnsiTheme="majorBidi" w:cstheme="majorBidi"/>
          <w:b/>
          <w:bCs/>
          <w:color w:val="222222"/>
          <w:sz w:val="24"/>
          <w:szCs w:val="24"/>
        </w:rPr>
        <w:t xml:space="preserve">nvestigating the effect of Ultra-low dose naloxone on </w:t>
      </w:r>
      <w:r w:rsidRPr="00A37B6A">
        <w:rPr>
          <w:rFonts w:asciiTheme="majorBidi" w:hAnsiTheme="majorBidi" w:cstheme="majorBidi"/>
          <w:b/>
          <w:bCs/>
          <w:color w:val="171717"/>
          <w:sz w:val="24"/>
          <w:szCs w:val="24"/>
        </w:rPr>
        <w:t>spinal</w:t>
      </w:r>
      <w:r w:rsidRPr="00A37B6A">
        <w:rPr>
          <w:rFonts w:asciiTheme="majorBidi" w:hAnsiTheme="majorBidi" w:cstheme="majorBidi"/>
          <w:b/>
          <w:bCs/>
          <w:color w:val="222222"/>
          <w:sz w:val="24"/>
          <w:szCs w:val="24"/>
        </w:rPr>
        <w:t xml:space="preserve"> BDNF and KCC2 cotransporter </w:t>
      </w:r>
      <w:r w:rsidRPr="00A37B6A">
        <w:rPr>
          <w:rFonts w:asciiTheme="majorBidi" w:hAnsiTheme="majorBidi" w:cstheme="majorBidi"/>
          <w:b/>
          <w:bCs/>
          <w:color w:val="0D0D0D"/>
          <w:sz w:val="24"/>
          <w:szCs w:val="24"/>
        </w:rPr>
        <w:t>in</w:t>
      </w:r>
      <w:r w:rsidRPr="00A37B6A">
        <w:rPr>
          <w:rFonts w:asciiTheme="majorBidi" w:hAnsiTheme="majorBidi" w:cstheme="majorBidi"/>
          <w:b/>
          <w:bCs/>
          <w:color w:val="222222"/>
          <w:sz w:val="24"/>
          <w:szCs w:val="24"/>
        </w:rPr>
        <w:t xml:space="preserve"> morphine tolerant and hyperalgesia rats</w:t>
      </w:r>
    </w:p>
    <w:p w14:paraId="68DC941C" w14:textId="77777777" w:rsidR="008439C3" w:rsidRPr="00A37B6A" w:rsidRDefault="008439C3" w:rsidP="008439C3">
      <w:pPr>
        <w:spacing w:line="480" w:lineRule="auto"/>
        <w:jc w:val="both"/>
        <w:rPr>
          <w:rFonts w:asciiTheme="majorBidi" w:hAnsiTheme="majorBidi" w:cstheme="majorBidi"/>
          <w:b/>
          <w:bCs/>
          <w:color w:val="222222"/>
          <w:sz w:val="24"/>
          <w:szCs w:val="24"/>
        </w:rPr>
      </w:pPr>
    </w:p>
    <w:p w14:paraId="712AE823" w14:textId="77777777" w:rsidR="008439C3" w:rsidRPr="00A37B6A" w:rsidRDefault="008439C3" w:rsidP="008439C3">
      <w:pPr>
        <w:spacing w:line="480" w:lineRule="auto"/>
        <w:jc w:val="both"/>
        <w:rPr>
          <w:rFonts w:asciiTheme="majorBidi" w:hAnsiTheme="majorBidi" w:cstheme="majorBidi"/>
          <w:sz w:val="24"/>
          <w:szCs w:val="24"/>
          <w:vertAlign w:val="superscript"/>
          <w:lang w:bidi="fa-IR"/>
        </w:rPr>
      </w:pPr>
      <w:proofErr w:type="spellStart"/>
      <w:r w:rsidRPr="0077007F">
        <w:rPr>
          <w:rFonts w:asciiTheme="majorBidi" w:hAnsiTheme="majorBidi" w:cstheme="majorBidi"/>
          <w:sz w:val="24"/>
          <w:szCs w:val="24"/>
          <w:lang w:bidi="fa-IR"/>
        </w:rPr>
        <w:t>Mozhgan</w:t>
      </w:r>
      <w:proofErr w:type="spellEnd"/>
      <w:r w:rsidRPr="0077007F">
        <w:rPr>
          <w:rFonts w:asciiTheme="majorBidi" w:hAnsiTheme="majorBidi" w:cstheme="majorBidi"/>
          <w:sz w:val="24"/>
          <w:szCs w:val="24"/>
          <w:lang w:bidi="fa-IR"/>
        </w:rPr>
        <w:t xml:space="preserve"> Baratzadeh</w:t>
      </w:r>
      <w:r w:rsidRPr="0077007F">
        <w:rPr>
          <w:rFonts w:asciiTheme="majorBidi" w:hAnsiTheme="majorBidi" w:cstheme="majorBidi"/>
          <w:sz w:val="24"/>
          <w:szCs w:val="24"/>
          <w:vertAlign w:val="superscript"/>
          <w:lang w:bidi="fa-IR"/>
        </w:rPr>
        <w:t>1</w:t>
      </w:r>
      <w:r w:rsidRPr="00A37B6A">
        <w:rPr>
          <w:rFonts w:asciiTheme="majorBidi" w:hAnsiTheme="majorBidi" w:cstheme="majorBidi"/>
          <w:sz w:val="24"/>
          <w:szCs w:val="24"/>
          <w:lang w:bidi="fa-IR"/>
        </w:rPr>
        <w:t>, Samira Danialy</w:t>
      </w:r>
      <w:r w:rsidRPr="00A37B6A">
        <w:rPr>
          <w:rFonts w:asciiTheme="majorBidi" w:hAnsiTheme="majorBidi" w:cstheme="majorBidi"/>
          <w:sz w:val="24"/>
          <w:szCs w:val="24"/>
          <w:vertAlign w:val="superscript"/>
          <w:lang w:bidi="fa-IR"/>
        </w:rPr>
        <w:t>1</w:t>
      </w:r>
      <w:r w:rsidRPr="00A37B6A">
        <w:rPr>
          <w:rFonts w:asciiTheme="majorBidi" w:hAnsiTheme="majorBidi" w:cstheme="majorBidi"/>
          <w:sz w:val="24"/>
          <w:szCs w:val="24"/>
          <w:lang w:bidi="fa-IR"/>
        </w:rPr>
        <w:t>, Jalal Zaringhalam</w:t>
      </w:r>
      <w:r w:rsidRPr="00A37B6A">
        <w:rPr>
          <w:rFonts w:asciiTheme="majorBidi" w:hAnsiTheme="majorBidi" w:cstheme="majorBidi"/>
          <w:sz w:val="24"/>
          <w:szCs w:val="24"/>
          <w:vertAlign w:val="superscript"/>
          <w:lang w:bidi="fa-IR"/>
        </w:rPr>
        <w:t>2</w:t>
      </w:r>
      <w:r w:rsidRPr="00A37B6A">
        <w:rPr>
          <w:rFonts w:asciiTheme="majorBidi" w:hAnsiTheme="majorBidi" w:cstheme="majorBidi"/>
          <w:sz w:val="24"/>
          <w:szCs w:val="24"/>
          <w:lang w:bidi="fa-IR"/>
        </w:rPr>
        <w:t xml:space="preserve">, </w:t>
      </w:r>
      <w:proofErr w:type="spellStart"/>
      <w:r w:rsidRPr="00A37B6A">
        <w:rPr>
          <w:rFonts w:asciiTheme="majorBidi" w:hAnsiTheme="majorBidi" w:cstheme="majorBidi"/>
          <w:sz w:val="24"/>
          <w:szCs w:val="24"/>
          <w:lang w:bidi="fa-IR"/>
        </w:rPr>
        <w:t>Homa</w:t>
      </w:r>
      <w:proofErr w:type="spellEnd"/>
      <w:r w:rsidRPr="00A37B6A">
        <w:rPr>
          <w:rFonts w:asciiTheme="majorBidi" w:hAnsiTheme="majorBidi" w:cstheme="majorBidi"/>
          <w:sz w:val="24"/>
          <w:szCs w:val="24"/>
          <w:lang w:bidi="fa-IR"/>
        </w:rPr>
        <w:t xml:space="preserve"> Manaheji</w:t>
      </w:r>
      <w:r w:rsidRPr="00A37B6A">
        <w:rPr>
          <w:rFonts w:asciiTheme="majorBidi" w:hAnsiTheme="majorBidi" w:cstheme="majorBidi"/>
          <w:sz w:val="24"/>
          <w:szCs w:val="24"/>
          <w:vertAlign w:val="superscript"/>
          <w:lang w:bidi="fa-IR"/>
        </w:rPr>
        <w:t>2*</w:t>
      </w:r>
    </w:p>
    <w:p w14:paraId="16186B1F" w14:textId="77777777" w:rsidR="008439C3" w:rsidRPr="00A37B6A"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A37B6A">
        <w:rPr>
          <w:rFonts w:asciiTheme="majorBidi" w:hAnsiTheme="majorBidi" w:cstheme="majorBidi"/>
          <w:color w:val="1C1E29"/>
          <w:vertAlign w:val="superscript"/>
        </w:rPr>
        <w:t>1</w:t>
      </w:r>
      <w:r w:rsidRPr="00A37B6A">
        <w:rPr>
          <w:rFonts w:asciiTheme="majorBidi" w:hAnsiTheme="majorBidi" w:cstheme="majorBidi"/>
          <w:color w:val="1C1E29"/>
        </w:rPr>
        <w:t xml:space="preserve"> Department of Physiology, School of Medicine, Shahid Beheshti University of Medical Sciences, Tehran, Iran</w:t>
      </w:r>
    </w:p>
    <w:p w14:paraId="41D24706" w14:textId="77777777" w:rsidR="008439C3" w:rsidRPr="00A37B6A"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A37B6A">
        <w:rPr>
          <w:rFonts w:asciiTheme="majorBidi" w:hAnsiTheme="majorBidi" w:cstheme="majorBidi"/>
          <w:color w:val="1C1E29"/>
          <w:vertAlign w:val="superscript"/>
        </w:rPr>
        <w:t>2</w:t>
      </w:r>
      <w:r w:rsidRPr="00A37B6A">
        <w:rPr>
          <w:rFonts w:asciiTheme="majorBidi" w:hAnsiTheme="majorBidi" w:cstheme="majorBidi"/>
          <w:color w:val="1C1E29"/>
        </w:rPr>
        <w:t xml:space="preserve"> Neurophysiology Research Center, Shahid Beheshti University of Medical Sciences, Tehran, Iran</w:t>
      </w:r>
    </w:p>
    <w:p w14:paraId="3AFB84F3" w14:textId="77777777" w:rsidR="008439C3" w:rsidRPr="00A37B6A" w:rsidRDefault="008439C3" w:rsidP="008439C3">
      <w:pPr>
        <w:pStyle w:val="NormalWeb"/>
        <w:spacing w:before="0" w:beforeAutospacing="0" w:after="0" w:afterAutospacing="0" w:line="480" w:lineRule="auto"/>
        <w:jc w:val="both"/>
        <w:rPr>
          <w:rFonts w:asciiTheme="majorBidi" w:hAnsiTheme="majorBidi" w:cstheme="majorBidi"/>
          <w:color w:val="1C1E29"/>
        </w:rPr>
      </w:pPr>
    </w:p>
    <w:p w14:paraId="5E283AF6" w14:textId="77777777" w:rsidR="008439C3" w:rsidRPr="00A37B6A"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A37B6A">
        <w:rPr>
          <w:rFonts w:asciiTheme="majorBidi" w:hAnsiTheme="majorBidi" w:cstheme="majorBidi"/>
          <w:color w:val="1C1E29"/>
        </w:rPr>
        <w:t xml:space="preserve">*Corresponding author: </w:t>
      </w:r>
      <w:proofErr w:type="spellStart"/>
      <w:r w:rsidRPr="00A37B6A">
        <w:rPr>
          <w:rFonts w:asciiTheme="majorBidi" w:hAnsiTheme="majorBidi" w:cstheme="majorBidi"/>
          <w:color w:val="1C1E29"/>
        </w:rPr>
        <w:t>Homa</w:t>
      </w:r>
      <w:proofErr w:type="spellEnd"/>
      <w:r w:rsidRPr="00A37B6A">
        <w:rPr>
          <w:rFonts w:asciiTheme="majorBidi" w:hAnsiTheme="majorBidi" w:cstheme="majorBidi"/>
          <w:color w:val="1C1E29"/>
        </w:rPr>
        <w:t xml:space="preserve"> </w:t>
      </w:r>
      <w:proofErr w:type="spellStart"/>
      <w:r w:rsidRPr="00A37B6A">
        <w:rPr>
          <w:rFonts w:asciiTheme="majorBidi" w:hAnsiTheme="majorBidi" w:cstheme="majorBidi"/>
          <w:color w:val="1C1E29"/>
        </w:rPr>
        <w:t>Manaheji</w:t>
      </w:r>
      <w:proofErr w:type="spellEnd"/>
    </w:p>
    <w:p w14:paraId="486AE3A8" w14:textId="77777777" w:rsidR="008439C3" w:rsidRPr="00A37B6A"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A37B6A">
        <w:rPr>
          <w:rFonts w:asciiTheme="majorBidi" w:hAnsiTheme="majorBidi" w:cstheme="majorBidi"/>
          <w:color w:val="1C1E29"/>
        </w:rPr>
        <w:t>Address: Neurophysiology research center, Shahid Beheshti University of Medical Sciences, Ewin, Tehran, Iran</w:t>
      </w:r>
    </w:p>
    <w:p w14:paraId="47AC7A46" w14:textId="77777777" w:rsidR="008439C3" w:rsidRPr="00A37B6A"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A37B6A">
        <w:rPr>
          <w:rFonts w:asciiTheme="majorBidi" w:hAnsiTheme="majorBidi" w:cstheme="majorBidi"/>
          <w:color w:val="1C1E29"/>
        </w:rPr>
        <w:t xml:space="preserve">Tel: </w:t>
      </w:r>
      <w:r>
        <w:rPr>
          <w:rFonts w:asciiTheme="majorBidi" w:hAnsiTheme="majorBidi" w:cstheme="majorBidi"/>
          <w:color w:val="1C1E29"/>
        </w:rPr>
        <w:t>+</w:t>
      </w:r>
      <w:r w:rsidRPr="00A37B6A">
        <w:rPr>
          <w:rFonts w:asciiTheme="majorBidi" w:hAnsiTheme="majorBidi" w:cstheme="majorBidi"/>
          <w:color w:val="1C1E29"/>
        </w:rPr>
        <w:t>982122439971</w:t>
      </w:r>
    </w:p>
    <w:p w14:paraId="3EDBABE4" w14:textId="77777777" w:rsidR="008439C3" w:rsidRPr="00A37B6A"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A37B6A">
        <w:rPr>
          <w:rFonts w:asciiTheme="majorBidi" w:hAnsiTheme="majorBidi" w:cstheme="majorBidi"/>
          <w:color w:val="1C1E29"/>
        </w:rPr>
        <w:t>PO box 19615-1178</w:t>
      </w:r>
    </w:p>
    <w:p w14:paraId="0C5E2937" w14:textId="77777777" w:rsidR="008439C3" w:rsidRPr="00A37B6A"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A37B6A">
        <w:rPr>
          <w:rFonts w:asciiTheme="majorBidi" w:hAnsiTheme="majorBidi" w:cstheme="majorBidi"/>
          <w:color w:val="1C1E29"/>
        </w:rPr>
        <w:t>E-mail: </w:t>
      </w:r>
      <w:hyperlink r:id="rId7" w:history="1">
        <w:r w:rsidRPr="0004235D">
          <w:rPr>
            <w:rStyle w:val="Hyperlink"/>
            <w:rFonts w:asciiTheme="majorBidi" w:hAnsiTheme="majorBidi" w:cstheme="majorBidi"/>
          </w:rPr>
          <w:t>manahejih@sbmu.ac.ir</w:t>
        </w:r>
      </w:hyperlink>
    </w:p>
    <w:p w14:paraId="135FDF3A" w14:textId="77777777" w:rsidR="008439C3" w:rsidRPr="00A37B6A" w:rsidRDefault="008439C3" w:rsidP="008439C3">
      <w:pPr>
        <w:pStyle w:val="NormalWeb"/>
        <w:spacing w:before="0" w:beforeAutospacing="0" w:after="0" w:afterAutospacing="0" w:line="480" w:lineRule="auto"/>
        <w:jc w:val="both"/>
        <w:rPr>
          <w:rFonts w:asciiTheme="majorBidi" w:hAnsiTheme="majorBidi" w:cstheme="majorBidi"/>
          <w:color w:val="1C1E29"/>
        </w:rPr>
      </w:pPr>
    </w:p>
    <w:p w14:paraId="6003690B" w14:textId="77777777" w:rsidR="008439C3" w:rsidRPr="00A37B6A" w:rsidRDefault="008439C3" w:rsidP="008439C3">
      <w:pPr>
        <w:spacing w:line="480" w:lineRule="auto"/>
        <w:jc w:val="both"/>
        <w:rPr>
          <w:rFonts w:asciiTheme="majorBidi" w:hAnsiTheme="majorBidi" w:cstheme="majorBidi"/>
          <w:sz w:val="24"/>
          <w:szCs w:val="24"/>
          <w:vertAlign w:val="superscript"/>
          <w:lang w:bidi="fa-IR"/>
        </w:rPr>
      </w:pPr>
    </w:p>
    <w:p w14:paraId="7DE1B4F1" w14:textId="77777777" w:rsidR="008439C3" w:rsidRPr="00A37B6A" w:rsidRDefault="008439C3" w:rsidP="008439C3">
      <w:pPr>
        <w:spacing w:line="480" w:lineRule="auto"/>
        <w:jc w:val="both"/>
        <w:rPr>
          <w:rFonts w:asciiTheme="majorBidi" w:hAnsiTheme="majorBidi" w:cstheme="majorBidi"/>
          <w:sz w:val="24"/>
          <w:szCs w:val="24"/>
          <w:vertAlign w:val="superscript"/>
          <w:lang w:bidi="fa-IR"/>
        </w:rPr>
      </w:pPr>
    </w:p>
    <w:p w14:paraId="56E77B9C" w14:textId="77777777" w:rsidR="008439C3" w:rsidRDefault="008439C3" w:rsidP="008439C3">
      <w:pPr>
        <w:spacing w:line="480" w:lineRule="auto"/>
        <w:jc w:val="both"/>
        <w:rPr>
          <w:rFonts w:asciiTheme="majorBidi" w:hAnsiTheme="majorBidi" w:cstheme="majorBidi"/>
          <w:sz w:val="24"/>
          <w:szCs w:val="24"/>
          <w:lang w:bidi="fa-IR"/>
        </w:rPr>
      </w:pPr>
    </w:p>
    <w:p w14:paraId="097DE578" w14:textId="77777777" w:rsidR="008439C3" w:rsidRDefault="008439C3" w:rsidP="008439C3">
      <w:pPr>
        <w:spacing w:line="480" w:lineRule="auto"/>
        <w:jc w:val="both"/>
        <w:rPr>
          <w:rFonts w:asciiTheme="majorBidi" w:hAnsiTheme="majorBidi" w:cstheme="majorBidi"/>
          <w:sz w:val="24"/>
          <w:szCs w:val="24"/>
          <w:lang w:bidi="fa-IR"/>
        </w:rPr>
      </w:pPr>
    </w:p>
    <w:p w14:paraId="3DD8DF3F" w14:textId="1371F5C3" w:rsidR="008439C3" w:rsidRDefault="008439C3" w:rsidP="008439C3">
      <w:pPr>
        <w:spacing w:line="480" w:lineRule="auto"/>
        <w:jc w:val="both"/>
        <w:rPr>
          <w:rFonts w:asciiTheme="majorBidi" w:hAnsiTheme="majorBidi" w:cstheme="majorBidi"/>
          <w:sz w:val="24"/>
          <w:szCs w:val="24"/>
          <w:lang w:bidi="fa-IR"/>
        </w:rPr>
      </w:pPr>
    </w:p>
    <w:p w14:paraId="15EDF184" w14:textId="645706DA" w:rsidR="00186670" w:rsidRDefault="00186670" w:rsidP="008439C3">
      <w:pPr>
        <w:spacing w:line="480" w:lineRule="auto"/>
        <w:jc w:val="both"/>
        <w:rPr>
          <w:rFonts w:asciiTheme="majorBidi" w:hAnsiTheme="majorBidi" w:cstheme="majorBidi"/>
          <w:sz w:val="24"/>
          <w:szCs w:val="24"/>
          <w:lang w:bidi="fa-IR"/>
        </w:rPr>
      </w:pPr>
    </w:p>
    <w:p w14:paraId="79AED858" w14:textId="43AEB18A" w:rsidR="00186670" w:rsidRDefault="00186670" w:rsidP="008439C3">
      <w:pPr>
        <w:spacing w:line="480" w:lineRule="auto"/>
        <w:jc w:val="both"/>
        <w:rPr>
          <w:rFonts w:asciiTheme="majorBidi" w:hAnsiTheme="majorBidi" w:cstheme="majorBidi"/>
          <w:sz w:val="24"/>
          <w:szCs w:val="24"/>
          <w:lang w:bidi="fa-IR"/>
        </w:rPr>
      </w:pPr>
    </w:p>
    <w:p w14:paraId="1FDDC17E" w14:textId="77777777" w:rsidR="00186670" w:rsidRPr="00A37B6A" w:rsidRDefault="00186670" w:rsidP="008439C3">
      <w:pPr>
        <w:spacing w:line="480" w:lineRule="auto"/>
        <w:jc w:val="both"/>
        <w:rPr>
          <w:rFonts w:asciiTheme="majorBidi" w:hAnsiTheme="majorBidi" w:cstheme="majorBidi"/>
          <w:sz w:val="24"/>
          <w:szCs w:val="24"/>
          <w:lang w:bidi="fa-IR"/>
        </w:rPr>
      </w:pPr>
      <w:bookmarkStart w:id="7" w:name="_GoBack"/>
      <w:bookmarkEnd w:id="7"/>
    </w:p>
    <w:p w14:paraId="43F945A2" w14:textId="77777777" w:rsidR="008439C3" w:rsidRPr="00A37B6A" w:rsidRDefault="008439C3" w:rsidP="008439C3">
      <w:pPr>
        <w:spacing w:line="480" w:lineRule="auto"/>
        <w:jc w:val="both"/>
        <w:rPr>
          <w:rFonts w:asciiTheme="majorBidi" w:hAnsiTheme="majorBidi" w:cstheme="majorBidi"/>
          <w:sz w:val="24"/>
          <w:szCs w:val="24"/>
          <w:lang w:bidi="fa-IR"/>
        </w:rPr>
      </w:pPr>
    </w:p>
    <w:p w14:paraId="4CF13835" w14:textId="77777777" w:rsidR="008439C3" w:rsidRPr="00A37B6A" w:rsidRDefault="008439C3" w:rsidP="008439C3">
      <w:pPr>
        <w:spacing w:line="480" w:lineRule="auto"/>
        <w:jc w:val="both"/>
        <w:rPr>
          <w:rFonts w:asciiTheme="majorBidi" w:hAnsiTheme="majorBidi" w:cstheme="majorBidi"/>
          <w:b/>
          <w:bCs/>
          <w:color w:val="222222"/>
          <w:sz w:val="24"/>
          <w:szCs w:val="24"/>
        </w:rPr>
      </w:pPr>
      <w:r w:rsidRPr="00A37B6A">
        <w:rPr>
          <w:rFonts w:asciiTheme="majorBidi" w:hAnsiTheme="majorBidi" w:cstheme="majorBidi"/>
          <w:b/>
          <w:bCs/>
          <w:color w:val="222222"/>
          <w:sz w:val="24"/>
          <w:szCs w:val="24"/>
        </w:rPr>
        <w:lastRenderedPageBreak/>
        <w:t>Abstract</w:t>
      </w:r>
    </w:p>
    <w:p w14:paraId="5D0639B8" w14:textId="77777777" w:rsidR="008439C3" w:rsidRPr="00375659" w:rsidRDefault="008439C3" w:rsidP="008439C3">
      <w:pPr>
        <w:spacing w:after="0" w:line="480" w:lineRule="auto"/>
        <w:jc w:val="both"/>
        <w:rPr>
          <w:rFonts w:asciiTheme="majorBidi" w:eastAsia="Times New Roman" w:hAnsiTheme="majorBidi" w:cstheme="majorBidi"/>
          <w:color w:val="1C1E29"/>
          <w:sz w:val="24"/>
          <w:szCs w:val="24"/>
        </w:rPr>
      </w:pPr>
      <w:r w:rsidRPr="00375659">
        <w:rPr>
          <w:rFonts w:asciiTheme="majorBidi" w:eastAsia="Times New Roman" w:hAnsiTheme="majorBidi" w:cstheme="majorBidi"/>
          <w:b/>
          <w:bCs/>
          <w:color w:val="1C1E29"/>
          <w:sz w:val="24"/>
          <w:szCs w:val="24"/>
        </w:rPr>
        <w:t>Background</w:t>
      </w:r>
      <w:r w:rsidRPr="00375659">
        <w:rPr>
          <w:rFonts w:asciiTheme="majorBidi" w:eastAsia="Times New Roman" w:hAnsiTheme="majorBidi" w:cstheme="majorBidi"/>
          <w:color w:val="1C1E29"/>
          <w:sz w:val="24"/>
          <w:szCs w:val="24"/>
        </w:rPr>
        <w:t>: Chronic opioids administration can lead to several side effects including morphine (MOR) tolerance and opioid-induced hyperalgesia (OIH). Although the mechanisms are not clear, tolerance and hyperalgesia to opiates reduce their effectiveness in the treatment of severe pain. Recently, we have shown that repeated morphine treatments increased spinal Protein Kinase Cᵧ (PKCᵧ) and GABA transporter 1 (GAT-1) expression. In this study, we investigate the brain-derived neurotrophic factor (BDNF) and K+, CL- Cotransporter2 (KCC2) expression through ultra-low dose (ULD) of naloxone (NLX) coadministration along with morphine. </w:t>
      </w:r>
    </w:p>
    <w:p w14:paraId="52E13A55" w14:textId="77777777" w:rsidR="008439C3" w:rsidRPr="00375659" w:rsidRDefault="008439C3" w:rsidP="008439C3">
      <w:pPr>
        <w:spacing w:after="0" w:line="480" w:lineRule="auto"/>
        <w:jc w:val="both"/>
        <w:rPr>
          <w:rFonts w:asciiTheme="majorBidi" w:eastAsia="Times New Roman" w:hAnsiTheme="majorBidi" w:cstheme="majorBidi"/>
          <w:color w:val="1C1E29"/>
          <w:sz w:val="24"/>
          <w:szCs w:val="24"/>
        </w:rPr>
      </w:pPr>
      <w:r w:rsidRPr="00375659">
        <w:rPr>
          <w:rFonts w:asciiTheme="majorBidi" w:eastAsia="Times New Roman" w:hAnsiTheme="majorBidi" w:cstheme="majorBidi"/>
          <w:b/>
          <w:bCs/>
          <w:color w:val="1C1E29"/>
          <w:sz w:val="24"/>
          <w:szCs w:val="24"/>
        </w:rPr>
        <w:t>Results</w:t>
      </w:r>
      <w:r w:rsidRPr="00375659">
        <w:rPr>
          <w:rFonts w:asciiTheme="majorBidi" w:eastAsia="Times New Roman" w:hAnsiTheme="majorBidi" w:cstheme="majorBidi"/>
          <w:color w:val="1C1E29"/>
          <w:sz w:val="24"/>
          <w:szCs w:val="24"/>
        </w:rPr>
        <w:t xml:space="preserve">: </w:t>
      </w:r>
      <w:r w:rsidRPr="00375659">
        <w:rPr>
          <w:rFonts w:asciiTheme="majorBidi" w:hAnsiTheme="majorBidi" w:cstheme="majorBidi"/>
          <w:color w:val="1C1E29"/>
          <w:sz w:val="24"/>
          <w:szCs w:val="24"/>
        </w:rPr>
        <w:t>Forty-eight adult male Wistar</w:t>
      </w:r>
      <w:r>
        <w:rPr>
          <w:rFonts w:asciiTheme="majorBidi" w:hAnsiTheme="majorBidi" w:cstheme="majorBidi"/>
          <w:color w:val="1C1E29"/>
          <w:sz w:val="24"/>
          <w:szCs w:val="24"/>
        </w:rPr>
        <w:t xml:space="preserve"> </w:t>
      </w:r>
      <w:r w:rsidRPr="00375659">
        <w:rPr>
          <w:rFonts w:asciiTheme="majorBidi" w:hAnsiTheme="majorBidi" w:cstheme="majorBidi"/>
          <w:color w:val="1C1E29"/>
          <w:sz w:val="24"/>
          <w:szCs w:val="24"/>
        </w:rPr>
        <w:t xml:space="preserve">rats </w:t>
      </w:r>
      <w:r>
        <w:rPr>
          <w:rFonts w:asciiTheme="majorBidi" w:hAnsiTheme="majorBidi" w:cstheme="majorBidi"/>
          <w:color w:val="1C1E29"/>
          <w:sz w:val="24"/>
          <w:szCs w:val="24"/>
        </w:rPr>
        <w:t>(</w:t>
      </w:r>
      <w:r w:rsidRPr="00375659">
        <w:rPr>
          <w:rFonts w:asciiTheme="majorBidi" w:hAnsiTheme="majorBidi" w:cstheme="majorBidi"/>
          <w:color w:val="1C1E29"/>
          <w:sz w:val="24"/>
          <w:szCs w:val="24"/>
        </w:rPr>
        <w:t>180–220 g</w:t>
      </w:r>
      <w:r>
        <w:rPr>
          <w:rFonts w:asciiTheme="majorBidi" w:hAnsiTheme="majorBidi" w:cstheme="majorBidi"/>
          <w:color w:val="1C1E29"/>
          <w:sz w:val="24"/>
          <w:szCs w:val="24"/>
        </w:rPr>
        <w:t>)</w:t>
      </w:r>
      <w:r w:rsidRPr="00375659">
        <w:rPr>
          <w:rFonts w:asciiTheme="majorBidi" w:hAnsiTheme="majorBidi" w:cstheme="majorBidi"/>
          <w:color w:val="1C1E29"/>
          <w:sz w:val="24"/>
          <w:szCs w:val="24"/>
        </w:rPr>
        <w:t xml:space="preserve"> were used in this study. </w:t>
      </w:r>
      <w:r>
        <w:rPr>
          <w:rFonts w:asciiTheme="majorBidi" w:hAnsiTheme="majorBidi" w:cstheme="majorBidi"/>
          <w:color w:val="1C1E29"/>
        </w:rPr>
        <w:t>R</w:t>
      </w:r>
      <w:r w:rsidRPr="00FE2A55">
        <w:rPr>
          <w:rFonts w:asciiTheme="majorBidi" w:hAnsiTheme="majorBidi" w:cstheme="majorBidi"/>
          <w:color w:val="1C1E29"/>
        </w:rPr>
        <w:t>ats were separated into 8 groups with 6 rats in each group and divided to tolerance and OIH groups</w:t>
      </w:r>
      <w:r>
        <w:rPr>
          <w:rFonts w:asciiTheme="majorBidi" w:hAnsiTheme="majorBidi" w:cstheme="majorBidi"/>
          <w:color w:val="1C1E29"/>
        </w:rPr>
        <w:t>;</w:t>
      </w:r>
      <w:r>
        <w:rPr>
          <w:rFonts w:asciiTheme="majorBidi" w:hAnsiTheme="majorBidi" w:cstheme="majorBidi"/>
          <w:color w:val="1C1E29"/>
          <w:sz w:val="24"/>
          <w:szCs w:val="24"/>
        </w:rPr>
        <w:t xml:space="preserve"> sham group </w:t>
      </w:r>
      <w:r w:rsidRPr="00375659">
        <w:rPr>
          <w:rFonts w:asciiTheme="majorBidi" w:hAnsiTheme="majorBidi" w:cstheme="majorBidi"/>
          <w:color w:val="1C1E29"/>
          <w:sz w:val="24"/>
          <w:szCs w:val="24"/>
        </w:rPr>
        <w:t xml:space="preserve">received </w:t>
      </w:r>
      <w:r>
        <w:rPr>
          <w:rFonts w:asciiTheme="majorBidi" w:hAnsiTheme="majorBidi" w:cstheme="majorBidi"/>
          <w:color w:val="1C1E29"/>
          <w:sz w:val="24"/>
          <w:szCs w:val="24"/>
        </w:rPr>
        <w:t xml:space="preserve">saline, </w:t>
      </w:r>
      <w:r w:rsidRPr="00375659">
        <w:rPr>
          <w:rFonts w:asciiTheme="majorBidi" w:hAnsiTheme="majorBidi" w:cstheme="majorBidi"/>
          <w:color w:val="1C1E29"/>
          <w:sz w:val="24"/>
          <w:szCs w:val="24"/>
        </w:rPr>
        <w:t>morphine group</w:t>
      </w:r>
      <w:r>
        <w:rPr>
          <w:rFonts w:asciiTheme="majorBidi" w:hAnsiTheme="majorBidi" w:cstheme="majorBidi"/>
          <w:color w:val="1C1E29"/>
          <w:sz w:val="24"/>
          <w:szCs w:val="24"/>
        </w:rPr>
        <w:t xml:space="preserve"> </w:t>
      </w:r>
      <w:r w:rsidRPr="00375659">
        <w:rPr>
          <w:rFonts w:asciiTheme="majorBidi" w:hAnsiTheme="majorBidi" w:cstheme="majorBidi"/>
          <w:color w:val="1C1E29"/>
          <w:sz w:val="24"/>
          <w:szCs w:val="24"/>
        </w:rPr>
        <w:t>received intraperitoneally (IP)10 mg morphine,</w:t>
      </w:r>
      <w:r w:rsidRPr="00375659">
        <w:rPr>
          <w:rFonts w:asciiTheme="majorBidi" w:eastAsia="Times New Roman" w:hAnsiTheme="majorBidi" w:cstheme="majorBidi"/>
          <w:color w:val="1C1E29"/>
          <w:sz w:val="24"/>
          <w:szCs w:val="24"/>
        </w:rPr>
        <w:t xml:space="preserve"> </w:t>
      </w:r>
      <w:r>
        <w:rPr>
          <w:rFonts w:asciiTheme="majorBidi" w:eastAsia="Times New Roman" w:hAnsiTheme="majorBidi" w:cstheme="majorBidi"/>
          <w:color w:val="1C1E29"/>
          <w:sz w:val="24"/>
          <w:szCs w:val="24"/>
        </w:rPr>
        <w:t xml:space="preserve">the </w:t>
      </w:r>
      <w:r w:rsidRPr="00375659">
        <w:rPr>
          <w:rFonts w:asciiTheme="majorBidi" w:hAnsiTheme="majorBidi" w:cstheme="majorBidi"/>
          <w:color w:val="1C1E29"/>
          <w:sz w:val="24"/>
          <w:szCs w:val="24"/>
        </w:rPr>
        <w:t xml:space="preserve">treatment group received 15ng ULD of naloxone along with morphine, </w:t>
      </w:r>
      <w:r>
        <w:rPr>
          <w:rFonts w:asciiTheme="majorBidi" w:hAnsiTheme="majorBidi" w:cstheme="majorBidi"/>
          <w:color w:val="1C1E29"/>
          <w:sz w:val="24"/>
          <w:szCs w:val="24"/>
        </w:rPr>
        <w:t xml:space="preserve">and </w:t>
      </w:r>
      <w:r w:rsidRPr="00375659">
        <w:rPr>
          <w:rFonts w:asciiTheme="majorBidi" w:hAnsiTheme="majorBidi" w:cstheme="majorBidi"/>
          <w:color w:val="1C1E29"/>
          <w:sz w:val="24"/>
          <w:szCs w:val="24"/>
        </w:rPr>
        <w:t>the saline group</w:t>
      </w:r>
      <w:r>
        <w:rPr>
          <w:rFonts w:asciiTheme="majorBidi" w:hAnsiTheme="majorBidi" w:cstheme="majorBidi"/>
          <w:color w:val="1C1E29"/>
          <w:sz w:val="24"/>
          <w:szCs w:val="24"/>
        </w:rPr>
        <w:t xml:space="preserve"> received </w:t>
      </w:r>
      <w:r w:rsidRPr="00375659">
        <w:rPr>
          <w:rFonts w:asciiTheme="majorBidi" w:hAnsiTheme="majorBidi" w:cstheme="majorBidi"/>
          <w:color w:val="1C1E29"/>
          <w:sz w:val="24"/>
          <w:szCs w:val="24"/>
        </w:rPr>
        <w:t xml:space="preserve">ULD of naloxone along with saline for 8 consecutive days. </w:t>
      </w:r>
      <w:proofErr w:type="spellStart"/>
      <w:r w:rsidRPr="00375659">
        <w:rPr>
          <w:rFonts w:asciiTheme="majorBidi" w:hAnsiTheme="majorBidi" w:cstheme="majorBidi"/>
          <w:color w:val="1C1E29"/>
          <w:sz w:val="24"/>
          <w:szCs w:val="24"/>
        </w:rPr>
        <w:t>Behavioral</w:t>
      </w:r>
      <w:proofErr w:type="spellEnd"/>
      <w:r w:rsidRPr="00375659">
        <w:rPr>
          <w:rFonts w:asciiTheme="majorBidi" w:hAnsiTheme="majorBidi" w:cstheme="majorBidi"/>
          <w:color w:val="1C1E29"/>
          <w:sz w:val="24"/>
          <w:szCs w:val="24"/>
        </w:rPr>
        <w:t xml:space="preserve"> tests were performed by the tail-flick test (TL) and </w:t>
      </w:r>
      <w:r>
        <w:rPr>
          <w:rFonts w:asciiTheme="majorBidi" w:hAnsiTheme="majorBidi" w:cstheme="majorBidi"/>
          <w:color w:val="1C1E29"/>
          <w:sz w:val="24"/>
          <w:szCs w:val="24"/>
        </w:rPr>
        <w:t xml:space="preserve">the </w:t>
      </w:r>
      <w:r w:rsidRPr="00375659">
        <w:rPr>
          <w:rFonts w:asciiTheme="majorBidi" w:hAnsiTheme="majorBidi" w:cstheme="majorBidi"/>
          <w:color w:val="1C1E29"/>
          <w:sz w:val="24"/>
          <w:szCs w:val="24"/>
        </w:rPr>
        <w:t>plantar test.</w:t>
      </w:r>
      <w:r w:rsidRPr="00375659">
        <w:rPr>
          <w:rFonts w:asciiTheme="majorBidi" w:eastAsia="Times New Roman" w:hAnsiTheme="majorBidi" w:cstheme="majorBidi"/>
          <w:color w:val="1C1E29"/>
          <w:sz w:val="24"/>
          <w:szCs w:val="24"/>
        </w:rPr>
        <w:t xml:space="preserve"> </w:t>
      </w:r>
      <w:r>
        <w:rPr>
          <w:rFonts w:asciiTheme="majorBidi" w:eastAsia="Times New Roman" w:hAnsiTheme="majorBidi" w:cstheme="majorBidi"/>
          <w:color w:val="1C1E29"/>
          <w:sz w:val="24"/>
          <w:szCs w:val="24"/>
        </w:rPr>
        <w:t xml:space="preserve">Under deep </w:t>
      </w:r>
      <w:proofErr w:type="spellStart"/>
      <w:r>
        <w:rPr>
          <w:rFonts w:asciiTheme="majorBidi" w:eastAsia="Times New Roman" w:hAnsiTheme="majorBidi" w:cstheme="majorBidi"/>
          <w:color w:val="1C1E29"/>
          <w:sz w:val="24"/>
          <w:szCs w:val="24"/>
        </w:rPr>
        <w:t>anesthesia</w:t>
      </w:r>
      <w:proofErr w:type="spellEnd"/>
      <w:r>
        <w:rPr>
          <w:rFonts w:asciiTheme="majorBidi" w:eastAsia="Times New Roman" w:hAnsiTheme="majorBidi" w:cstheme="majorBidi"/>
          <w:color w:val="1C1E29"/>
          <w:sz w:val="24"/>
          <w:szCs w:val="24"/>
        </w:rPr>
        <w:t>, l</w:t>
      </w:r>
      <w:r w:rsidRPr="00375659">
        <w:rPr>
          <w:rFonts w:asciiTheme="majorBidi" w:eastAsia="Times New Roman" w:hAnsiTheme="majorBidi" w:cstheme="majorBidi"/>
          <w:color w:val="1C1E29"/>
          <w:sz w:val="24"/>
          <w:szCs w:val="24"/>
        </w:rPr>
        <w:t xml:space="preserve">umbar segments of the spinal cord were collected on day 8 for </w:t>
      </w:r>
      <w:r w:rsidRPr="00375659">
        <w:rPr>
          <w:rFonts w:asciiTheme="majorBidi" w:hAnsiTheme="majorBidi" w:cstheme="majorBidi"/>
          <w:color w:val="1C1E29"/>
          <w:sz w:val="24"/>
          <w:szCs w:val="24"/>
        </w:rPr>
        <w:t>western blotting and day 10 for immunohistochemistry.</w:t>
      </w:r>
      <w:r w:rsidRPr="00375659">
        <w:rPr>
          <w:rFonts w:asciiTheme="majorBidi" w:eastAsia="Times New Roman" w:hAnsiTheme="majorBidi" w:cstheme="majorBidi"/>
          <w:color w:val="1C1E29"/>
          <w:sz w:val="24"/>
          <w:szCs w:val="24"/>
        </w:rPr>
        <w:t xml:space="preserve"> </w:t>
      </w:r>
      <w:proofErr w:type="spellStart"/>
      <w:r w:rsidRPr="00375659">
        <w:rPr>
          <w:rFonts w:asciiTheme="majorBidi" w:eastAsia="Times New Roman" w:hAnsiTheme="majorBidi" w:cstheme="majorBidi"/>
          <w:color w:val="1C1E29"/>
          <w:sz w:val="24"/>
          <w:szCs w:val="24"/>
        </w:rPr>
        <w:t>Behavioral</w:t>
      </w:r>
      <w:proofErr w:type="spellEnd"/>
      <w:r w:rsidRPr="00375659">
        <w:rPr>
          <w:rFonts w:asciiTheme="majorBidi" w:eastAsia="Times New Roman" w:hAnsiTheme="majorBidi" w:cstheme="majorBidi"/>
          <w:color w:val="1C1E29"/>
          <w:sz w:val="24"/>
          <w:szCs w:val="24"/>
        </w:rPr>
        <w:t xml:space="preserve"> tests suggested that tolerance developed</w:t>
      </w:r>
      <w:r w:rsidRPr="00375659" w:rsidDel="007E4DD5">
        <w:rPr>
          <w:rFonts w:asciiTheme="majorBidi" w:eastAsia="Times New Roman" w:hAnsiTheme="majorBidi" w:cstheme="majorBidi"/>
          <w:color w:val="1C1E29"/>
          <w:sz w:val="24"/>
          <w:szCs w:val="24"/>
        </w:rPr>
        <w:t xml:space="preserve"> </w:t>
      </w:r>
      <w:r w:rsidRPr="00375659">
        <w:rPr>
          <w:rFonts w:asciiTheme="majorBidi" w:eastAsia="Times New Roman" w:hAnsiTheme="majorBidi" w:cstheme="majorBidi"/>
          <w:color w:val="1C1E29"/>
          <w:sz w:val="24"/>
          <w:szCs w:val="24"/>
        </w:rPr>
        <w:t>following 8 days of chronic morphine injection. OIH was shown 48 hours after the last morphine injection on day 10. Expression of BDNF significantly increased on day 8 and KCC2 was downregulated on day 10, which lead to morphine tolerance and OIH, respectively. An ULD of naloxone was able to suppress the development of OIH and alleviated morphine tolerance by decreasing BDNF and increasing KCC2. </w:t>
      </w:r>
    </w:p>
    <w:p w14:paraId="2587BDB3" w14:textId="77777777" w:rsidR="008439C3" w:rsidRPr="00A37B6A" w:rsidRDefault="008439C3" w:rsidP="008439C3">
      <w:pPr>
        <w:spacing w:after="0" w:line="480" w:lineRule="auto"/>
        <w:jc w:val="both"/>
        <w:rPr>
          <w:rFonts w:asciiTheme="majorBidi" w:eastAsia="Times New Roman" w:hAnsiTheme="majorBidi" w:cstheme="majorBidi"/>
          <w:color w:val="1C1E29"/>
          <w:sz w:val="24"/>
          <w:szCs w:val="24"/>
        </w:rPr>
      </w:pPr>
      <w:r w:rsidRPr="00375659">
        <w:rPr>
          <w:rFonts w:asciiTheme="majorBidi" w:eastAsia="Times New Roman" w:hAnsiTheme="majorBidi" w:cstheme="majorBidi"/>
          <w:b/>
          <w:bCs/>
          <w:color w:val="1C1E29"/>
          <w:sz w:val="24"/>
          <w:szCs w:val="24"/>
        </w:rPr>
        <w:t>Conclusions</w:t>
      </w:r>
      <w:r w:rsidRPr="00375659">
        <w:rPr>
          <w:rFonts w:asciiTheme="majorBidi" w:eastAsia="Times New Roman" w:hAnsiTheme="majorBidi" w:cstheme="majorBidi"/>
          <w:color w:val="1C1E29"/>
          <w:sz w:val="24"/>
          <w:szCs w:val="24"/>
        </w:rPr>
        <w:t>: Our data suggest that BDNF and KCC2 maybe candidate molecules that are involved in tolerance and OIH. The ultra-low dose of naloxone along with morphine might have valuable therapeutic potential for controlling hypersensitivity following chronic morphine administration</w:t>
      </w:r>
      <w:r w:rsidRPr="00A37B6A">
        <w:rPr>
          <w:rFonts w:asciiTheme="majorBidi" w:eastAsia="Times New Roman" w:hAnsiTheme="majorBidi" w:cstheme="majorBidi"/>
          <w:color w:val="1C1E29"/>
          <w:sz w:val="24"/>
          <w:szCs w:val="24"/>
        </w:rPr>
        <w:t>.</w:t>
      </w:r>
    </w:p>
    <w:p w14:paraId="6385484D" w14:textId="77777777" w:rsidR="008439C3" w:rsidRPr="00A37B6A" w:rsidRDefault="008439C3" w:rsidP="008439C3">
      <w:pPr>
        <w:spacing w:after="0" w:line="480" w:lineRule="auto"/>
        <w:jc w:val="both"/>
        <w:rPr>
          <w:rFonts w:asciiTheme="majorBidi" w:hAnsiTheme="majorBidi" w:cstheme="majorBidi"/>
          <w:color w:val="000000" w:themeColor="text1"/>
          <w:sz w:val="24"/>
          <w:szCs w:val="24"/>
        </w:rPr>
      </w:pPr>
    </w:p>
    <w:p w14:paraId="0B33AEBB" w14:textId="77777777" w:rsidR="008439C3" w:rsidRPr="00A37B6A" w:rsidRDefault="008439C3" w:rsidP="008439C3">
      <w:pPr>
        <w:spacing w:line="480" w:lineRule="auto"/>
        <w:jc w:val="both"/>
        <w:rPr>
          <w:rFonts w:asciiTheme="majorBidi" w:hAnsiTheme="majorBidi" w:cstheme="majorBidi"/>
          <w:sz w:val="24"/>
          <w:szCs w:val="24"/>
        </w:rPr>
      </w:pPr>
      <w:r w:rsidRPr="00A37B6A">
        <w:rPr>
          <w:rFonts w:asciiTheme="majorBidi" w:hAnsiTheme="majorBidi" w:cstheme="majorBidi"/>
          <w:b/>
          <w:bCs/>
          <w:sz w:val="24"/>
          <w:szCs w:val="24"/>
        </w:rPr>
        <w:t>Keywords</w:t>
      </w:r>
      <w:r w:rsidRPr="00A37B6A">
        <w:rPr>
          <w:rFonts w:asciiTheme="majorBidi" w:hAnsiTheme="majorBidi" w:cstheme="majorBidi"/>
          <w:sz w:val="24"/>
          <w:szCs w:val="24"/>
        </w:rPr>
        <w:t>: Morphine, hyperalgesia, ultra-low dose of naloxone, BDNF, KCC2</w:t>
      </w:r>
    </w:p>
    <w:p w14:paraId="58C2FFF8" w14:textId="77777777" w:rsidR="008439C3" w:rsidRPr="00A37B6A" w:rsidRDefault="008439C3" w:rsidP="008439C3">
      <w:pPr>
        <w:spacing w:line="480" w:lineRule="auto"/>
        <w:jc w:val="both"/>
        <w:rPr>
          <w:rFonts w:asciiTheme="majorBidi" w:hAnsiTheme="majorBidi" w:cstheme="majorBidi"/>
          <w:sz w:val="24"/>
          <w:szCs w:val="24"/>
        </w:rPr>
      </w:pPr>
    </w:p>
    <w:p w14:paraId="4BE2A43C" w14:textId="77777777" w:rsidR="008439C3" w:rsidRDefault="008439C3" w:rsidP="008439C3">
      <w:pPr>
        <w:spacing w:after="0" w:line="480" w:lineRule="auto"/>
        <w:jc w:val="both"/>
        <w:rPr>
          <w:rFonts w:asciiTheme="majorBidi" w:hAnsiTheme="majorBidi" w:cstheme="majorBidi"/>
          <w:sz w:val="24"/>
          <w:szCs w:val="24"/>
        </w:rPr>
      </w:pPr>
      <w:r w:rsidRPr="00A37B6A">
        <w:rPr>
          <w:rFonts w:asciiTheme="majorBidi" w:hAnsiTheme="majorBidi" w:cstheme="majorBidi"/>
          <w:sz w:val="24"/>
          <w:szCs w:val="24"/>
        </w:rPr>
        <w:t xml:space="preserve"> </w:t>
      </w:r>
    </w:p>
    <w:p w14:paraId="50C37527" w14:textId="77777777" w:rsidR="008439C3" w:rsidRPr="00A37B6A" w:rsidRDefault="008439C3" w:rsidP="008439C3">
      <w:pPr>
        <w:spacing w:line="480" w:lineRule="auto"/>
        <w:jc w:val="both"/>
        <w:rPr>
          <w:rFonts w:asciiTheme="majorBidi" w:hAnsiTheme="majorBidi" w:cstheme="majorBidi"/>
          <w:color w:val="222222"/>
          <w:sz w:val="24"/>
          <w:szCs w:val="24"/>
          <w:vertAlign w:val="superscript"/>
        </w:rPr>
      </w:pPr>
    </w:p>
    <w:p w14:paraId="75722D76" w14:textId="77777777" w:rsidR="008439C3" w:rsidRPr="00FE2A55"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FE2A55">
        <w:rPr>
          <w:rStyle w:val="Strong"/>
          <w:rFonts w:asciiTheme="majorBidi" w:hAnsiTheme="majorBidi" w:cstheme="majorBidi"/>
          <w:color w:val="1C1E29"/>
        </w:rPr>
        <w:t>1. Background</w:t>
      </w:r>
    </w:p>
    <w:p w14:paraId="3846EEF8" w14:textId="77777777" w:rsidR="008439C3" w:rsidRPr="009007A3" w:rsidRDefault="008439C3" w:rsidP="008439C3">
      <w:pPr>
        <w:pStyle w:val="NormalWeb"/>
        <w:spacing w:before="0" w:beforeAutospacing="0" w:after="0" w:afterAutospacing="0" w:line="480" w:lineRule="auto"/>
        <w:jc w:val="both"/>
        <w:rPr>
          <w:rFonts w:asciiTheme="majorBidi" w:hAnsiTheme="majorBidi" w:cstheme="majorBidi"/>
        </w:rPr>
      </w:pPr>
      <w:r w:rsidRPr="009007A3">
        <w:rPr>
          <w:rFonts w:asciiTheme="majorBidi" w:hAnsiTheme="majorBidi" w:cstheme="majorBidi"/>
        </w:rPr>
        <w:t xml:space="preserve">It has been shown that long-term administration of opioids, including morphine, leads to tolerance, dependence, addiction, and hyperalgesia. Among the multiple adverse side effects, tolerance and opioid-induced hyperalgesia are importance. Although morphine remains the best analgesic of all the opioids </w:t>
      </w:r>
      <w:r w:rsidRPr="009007A3">
        <w:rPr>
          <w:rFonts w:asciiTheme="majorBidi" w:hAnsiTheme="majorBidi" w:cstheme="majorBidi"/>
          <w:noProof/>
        </w:rPr>
        <w:t>(1)</w:t>
      </w:r>
      <w:r w:rsidRPr="009007A3">
        <w:rPr>
          <w:rFonts w:asciiTheme="majorBidi" w:hAnsiTheme="majorBidi" w:cstheme="majorBidi"/>
        </w:rPr>
        <w:t>, studies have shown that continuous injection of morphine can increase spinal BDNF release, which is involved in the development of hyperalgesia. This is due to the effect of BDNF, which binds to the tyrosine kinase receptor (</w:t>
      </w:r>
      <w:proofErr w:type="spellStart"/>
      <w:r w:rsidRPr="009007A3">
        <w:rPr>
          <w:rFonts w:asciiTheme="majorBidi" w:hAnsiTheme="majorBidi" w:cstheme="majorBidi"/>
        </w:rPr>
        <w:t>TrkB</w:t>
      </w:r>
      <w:proofErr w:type="spellEnd"/>
      <w:r w:rsidRPr="009007A3">
        <w:rPr>
          <w:rFonts w:asciiTheme="majorBidi" w:hAnsiTheme="majorBidi" w:cstheme="majorBidi"/>
        </w:rPr>
        <w:t xml:space="preserve">) and then inhibits KCC2 cotransporter activity. KCC2 increases the accumulation of chlorine and potassium ions in the cell and produces sensitivity and excitability </w:t>
      </w:r>
      <w:r w:rsidRPr="009007A3">
        <w:rPr>
          <w:rFonts w:asciiTheme="majorBidi" w:hAnsiTheme="majorBidi" w:cstheme="majorBidi"/>
          <w:noProof/>
        </w:rPr>
        <w:t>(2, 3)</w:t>
      </w:r>
      <w:r w:rsidRPr="009007A3">
        <w:rPr>
          <w:rFonts w:asciiTheme="majorBidi" w:hAnsiTheme="majorBidi" w:cstheme="majorBidi"/>
        </w:rPr>
        <w:t xml:space="preserve">. KCC2 levels downregulate by BDNF release following chronic morphine administration </w:t>
      </w:r>
      <w:r w:rsidRPr="009007A3">
        <w:rPr>
          <w:rFonts w:asciiTheme="majorBidi" w:hAnsiTheme="majorBidi" w:cstheme="majorBidi"/>
          <w:noProof/>
        </w:rPr>
        <w:t>(3-5)</w:t>
      </w:r>
      <w:r w:rsidRPr="009007A3">
        <w:rPr>
          <w:rFonts w:asciiTheme="majorBidi" w:hAnsiTheme="majorBidi" w:cstheme="majorBidi"/>
        </w:rPr>
        <w:t xml:space="preserve">. Rivera (1999) presented several pieces of evidence showing that BDNF down-regulates KCC2, leading to impairment of Cl-extrusion from neurons. Researchers have shown an obvious downregulation of KCC2 mRNA expression by BDNF </w:t>
      </w:r>
      <w:r w:rsidRPr="009007A3">
        <w:rPr>
          <w:rFonts w:asciiTheme="majorBidi" w:hAnsiTheme="majorBidi" w:cstheme="majorBidi"/>
          <w:noProof/>
        </w:rPr>
        <w:t>(6)</w:t>
      </w:r>
      <w:r w:rsidRPr="009007A3">
        <w:rPr>
          <w:rFonts w:asciiTheme="majorBidi" w:hAnsiTheme="majorBidi" w:cstheme="majorBidi"/>
        </w:rPr>
        <w:t xml:space="preserve">. BDNF-induced hyperexcitability has been proposed to be partly due to effects on Gamma-aminobutyric acid (GABA) inhibition </w:t>
      </w:r>
      <w:r w:rsidRPr="009007A3">
        <w:rPr>
          <w:rFonts w:asciiTheme="majorBidi" w:hAnsiTheme="majorBidi" w:cstheme="majorBidi"/>
          <w:noProof/>
        </w:rPr>
        <w:t>(7)</w:t>
      </w:r>
      <w:r w:rsidRPr="009007A3">
        <w:rPr>
          <w:rFonts w:asciiTheme="majorBidi" w:hAnsiTheme="majorBidi" w:cstheme="majorBidi"/>
        </w:rPr>
        <w:t xml:space="preserve">. The changes in intraneuronal Cl affect the amplitude and polarity of GABAergic responses </w:t>
      </w:r>
      <w:r w:rsidRPr="009007A3">
        <w:rPr>
          <w:rFonts w:asciiTheme="majorBidi" w:hAnsiTheme="majorBidi" w:cstheme="majorBidi"/>
          <w:noProof/>
        </w:rPr>
        <w:t>(8)</w:t>
      </w:r>
      <w:r w:rsidRPr="009007A3">
        <w:rPr>
          <w:rFonts w:asciiTheme="majorBidi" w:hAnsiTheme="majorBidi" w:cstheme="majorBidi"/>
        </w:rPr>
        <w:t xml:space="preserve"> and are involved in the control of both neuronal and interstitial volume, which play a critical role in the modulation of neuronal excitability </w:t>
      </w:r>
      <w:r w:rsidRPr="009007A3">
        <w:rPr>
          <w:rFonts w:asciiTheme="majorBidi" w:hAnsiTheme="majorBidi" w:cstheme="majorBidi"/>
          <w:noProof/>
        </w:rPr>
        <w:t>(9)</w:t>
      </w:r>
      <w:r w:rsidRPr="009007A3">
        <w:rPr>
          <w:rFonts w:asciiTheme="majorBidi" w:hAnsiTheme="majorBidi" w:cstheme="majorBidi"/>
        </w:rPr>
        <w:t>.</w:t>
      </w:r>
    </w:p>
    <w:p w14:paraId="144A778A" w14:textId="77777777" w:rsidR="008439C3" w:rsidRPr="00CA6623" w:rsidRDefault="008439C3" w:rsidP="008439C3">
      <w:pPr>
        <w:pStyle w:val="NormalWeb"/>
        <w:spacing w:before="0" w:beforeAutospacing="0" w:after="0" w:afterAutospacing="0" w:line="480" w:lineRule="auto"/>
        <w:jc w:val="both"/>
        <w:rPr>
          <w:rFonts w:asciiTheme="majorBidi" w:hAnsiTheme="majorBidi" w:cstheme="majorBidi"/>
        </w:rPr>
      </w:pPr>
      <w:r w:rsidRPr="00CA6623">
        <w:rPr>
          <w:rFonts w:asciiTheme="majorBidi" w:hAnsiTheme="majorBidi" w:cstheme="majorBidi"/>
        </w:rPr>
        <w:t xml:space="preserve">Opioid receptor antagonists, such as naloxone and naltrexone, at mg or </w:t>
      </w:r>
      <w:proofErr w:type="spellStart"/>
      <w:r w:rsidRPr="00CA6623">
        <w:rPr>
          <w:rFonts w:asciiTheme="majorBidi" w:hAnsiTheme="majorBidi" w:cstheme="majorBidi"/>
        </w:rPr>
        <w:t>μg</w:t>
      </w:r>
      <w:proofErr w:type="spellEnd"/>
      <w:r w:rsidRPr="00CA6623">
        <w:rPr>
          <w:rFonts w:asciiTheme="majorBidi" w:hAnsiTheme="majorBidi" w:cstheme="majorBidi"/>
        </w:rPr>
        <w:t xml:space="preserve">. doses antagonize opioid functions, but at ng or pg. doses enhance the analgesic effect of opioid agonists </w:t>
      </w:r>
      <w:r w:rsidRPr="00CA6623">
        <w:rPr>
          <w:rFonts w:asciiTheme="majorBidi" w:hAnsiTheme="majorBidi" w:cstheme="majorBidi"/>
          <w:noProof/>
        </w:rPr>
        <w:t>(10)</w:t>
      </w:r>
      <w:r w:rsidRPr="00CA6623">
        <w:rPr>
          <w:rFonts w:asciiTheme="majorBidi" w:hAnsiTheme="majorBidi" w:cstheme="majorBidi"/>
        </w:rPr>
        <w:t xml:space="preserve">. Co-administration of morphine with an ultra-low dose of naltrexone or naloxone potentiate the antinociceptive effect of morphine </w:t>
      </w:r>
      <w:r w:rsidRPr="00CA6623">
        <w:rPr>
          <w:rFonts w:asciiTheme="majorBidi" w:hAnsiTheme="majorBidi" w:cstheme="majorBidi"/>
          <w:noProof/>
        </w:rPr>
        <w:t>(11)</w:t>
      </w:r>
      <w:r w:rsidRPr="00CA6623">
        <w:rPr>
          <w:rFonts w:asciiTheme="majorBidi" w:hAnsiTheme="majorBidi" w:cstheme="majorBidi"/>
        </w:rPr>
        <w:t xml:space="preserve">. Moreover, it has been shown that ultra-low-dose naloxone modulates spinal neuroinflammation and enhances the antinociceptive effect of morphine </w:t>
      </w:r>
      <w:r w:rsidRPr="00CA6623">
        <w:rPr>
          <w:rFonts w:asciiTheme="majorBidi" w:hAnsiTheme="majorBidi" w:cstheme="majorBidi"/>
          <w:noProof/>
        </w:rPr>
        <w:t>(12)</w:t>
      </w:r>
      <w:r w:rsidRPr="00CA6623">
        <w:rPr>
          <w:rFonts w:asciiTheme="majorBidi" w:hAnsiTheme="majorBidi" w:cstheme="majorBidi"/>
        </w:rPr>
        <w:t xml:space="preserve">. These data suggest that ultra-low-dose naloxone might be clinically valuable in pain management </w:t>
      </w:r>
      <w:r w:rsidRPr="00CA6623">
        <w:rPr>
          <w:rFonts w:asciiTheme="majorBidi" w:hAnsiTheme="majorBidi" w:cstheme="majorBidi"/>
          <w:noProof/>
        </w:rPr>
        <w:t>(13)</w:t>
      </w:r>
      <w:r w:rsidRPr="00CA6623">
        <w:rPr>
          <w:rFonts w:asciiTheme="majorBidi" w:hAnsiTheme="majorBidi" w:cstheme="majorBidi"/>
        </w:rPr>
        <w:t xml:space="preserve"> as co-infusion of ultra-low-dose naloxone along with morphine maintains the antinociceptive effect of morphine </w:t>
      </w:r>
      <w:r w:rsidRPr="00CA6623">
        <w:rPr>
          <w:rFonts w:asciiTheme="majorBidi" w:hAnsiTheme="majorBidi" w:cstheme="majorBidi"/>
          <w:noProof/>
        </w:rPr>
        <w:t>(12)</w:t>
      </w:r>
      <w:r w:rsidRPr="00CA6623">
        <w:rPr>
          <w:rFonts w:asciiTheme="majorBidi" w:hAnsiTheme="majorBidi" w:cstheme="majorBidi"/>
        </w:rPr>
        <w:t xml:space="preserve">. Furthermore, the ultra-low-dose of naloxone is known as an effective adjuvant to suppress opioid tolerance and dependence </w:t>
      </w:r>
      <w:r w:rsidRPr="00CA6623">
        <w:rPr>
          <w:rFonts w:asciiTheme="majorBidi" w:hAnsiTheme="majorBidi" w:cstheme="majorBidi"/>
          <w:noProof/>
        </w:rPr>
        <w:t>(14)</w:t>
      </w:r>
      <w:r w:rsidRPr="00CA6623">
        <w:rPr>
          <w:rFonts w:asciiTheme="majorBidi" w:hAnsiTheme="majorBidi" w:cstheme="majorBidi"/>
        </w:rPr>
        <w:t xml:space="preserve">. The mechanism underlying an ultra-low dose of naloxone is not well </w:t>
      </w:r>
      <w:r w:rsidRPr="00CA6623">
        <w:rPr>
          <w:rFonts w:asciiTheme="majorBidi" w:hAnsiTheme="majorBidi" w:cstheme="majorBidi"/>
        </w:rPr>
        <w:lastRenderedPageBreak/>
        <w:t>known. In this study, we examined the effect of co-administration of morphine and ultra-low-dose naloxone on BDNF and KCC2 expression in dorsal horn neurons in morphine-treated rats. </w:t>
      </w:r>
    </w:p>
    <w:p w14:paraId="07D89BA3" w14:textId="77777777" w:rsidR="008439C3" w:rsidRPr="00CA6623" w:rsidRDefault="008439C3" w:rsidP="008439C3">
      <w:pPr>
        <w:pStyle w:val="NormalWeb"/>
        <w:spacing w:before="0" w:beforeAutospacing="0" w:after="0" w:afterAutospacing="0"/>
        <w:jc w:val="both"/>
        <w:rPr>
          <w:rFonts w:asciiTheme="minorBidi" w:hAnsiTheme="minorBidi" w:cstheme="minorBidi"/>
          <w:color w:val="1C1E29"/>
          <w:sz w:val="18"/>
          <w:szCs w:val="18"/>
        </w:rPr>
      </w:pPr>
    </w:p>
    <w:p w14:paraId="1BD78007" w14:textId="77777777" w:rsidR="008439C3" w:rsidRPr="00FE2A55" w:rsidRDefault="008439C3" w:rsidP="008439C3">
      <w:pPr>
        <w:pStyle w:val="NormalWeb"/>
        <w:spacing w:before="0" w:beforeAutospacing="0" w:after="0" w:afterAutospacing="0" w:line="480" w:lineRule="auto"/>
        <w:jc w:val="both"/>
        <w:rPr>
          <w:rFonts w:asciiTheme="majorBidi" w:hAnsiTheme="majorBidi" w:cstheme="majorBidi"/>
          <w:color w:val="1C1E29"/>
        </w:rPr>
      </w:pPr>
      <w:r>
        <w:rPr>
          <w:rStyle w:val="Strong"/>
          <w:rFonts w:asciiTheme="majorBidi" w:hAnsiTheme="majorBidi" w:cstheme="majorBidi"/>
          <w:color w:val="1C1E29"/>
        </w:rPr>
        <w:t>2</w:t>
      </w:r>
      <w:r w:rsidRPr="00FE2A55">
        <w:rPr>
          <w:rStyle w:val="Strong"/>
          <w:rFonts w:asciiTheme="majorBidi" w:hAnsiTheme="majorBidi" w:cstheme="majorBidi"/>
          <w:color w:val="1C1E29"/>
        </w:rPr>
        <w:t>. Results</w:t>
      </w:r>
    </w:p>
    <w:p w14:paraId="35574EC8" w14:textId="77777777" w:rsidR="008439C3" w:rsidRPr="00FE2A55" w:rsidRDefault="008439C3" w:rsidP="008439C3">
      <w:pPr>
        <w:pStyle w:val="NormalWeb"/>
        <w:spacing w:before="0" w:beforeAutospacing="0" w:after="0" w:afterAutospacing="0" w:line="480" w:lineRule="auto"/>
        <w:jc w:val="both"/>
        <w:rPr>
          <w:rFonts w:asciiTheme="majorBidi" w:hAnsiTheme="majorBidi" w:cstheme="majorBidi"/>
          <w:color w:val="1C1E29"/>
        </w:rPr>
      </w:pPr>
      <w:r>
        <w:rPr>
          <w:rStyle w:val="Strong"/>
          <w:rFonts w:asciiTheme="majorBidi" w:hAnsiTheme="majorBidi" w:cstheme="majorBidi"/>
          <w:color w:val="1C1E29"/>
        </w:rPr>
        <w:t>2</w:t>
      </w:r>
      <w:r w:rsidRPr="00FE2A55">
        <w:rPr>
          <w:rStyle w:val="Strong"/>
          <w:rFonts w:asciiTheme="majorBidi" w:hAnsiTheme="majorBidi" w:cstheme="majorBidi"/>
          <w:color w:val="1C1E29"/>
        </w:rPr>
        <w:t>.1. Tail flick test on day 1, 5 and 8 after morphine injection </w:t>
      </w:r>
    </w:p>
    <w:p w14:paraId="71761802" w14:textId="77777777" w:rsidR="008439C3" w:rsidRPr="009007A3"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9007A3">
        <w:rPr>
          <w:rFonts w:asciiTheme="majorBidi" w:hAnsiTheme="majorBidi" w:cstheme="majorBidi"/>
          <w:color w:val="1C1E29"/>
        </w:rPr>
        <w:t>Four-hour tail-flick test results in the morphine group compared with the sham group showed the antinociceptive effect of morphine. Indeed, morphine created the maximum possible analgesic effects (MPAE). This effect remained significant in the sham group, although it decreased gradually from 120 min after injection to 240 min. Also, the results showed that co-administration of the ineffective dose of naloxone along with morphine the first day sustained the antinociceptive effect of morphine when compared to the sham group for up to three hours but decreased from 180 minutes to 240 min. However, it was not able to sustain the analgesic effect when compared to the morphine group (Figure 1).</w:t>
      </w:r>
    </w:p>
    <w:p w14:paraId="5A83FE42" w14:textId="77777777" w:rsidR="008439C3" w:rsidRPr="009007A3"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9007A3">
        <w:rPr>
          <w:rFonts w:asciiTheme="majorBidi" w:hAnsiTheme="majorBidi" w:cstheme="majorBidi"/>
          <w:color w:val="1C1E29"/>
        </w:rPr>
        <w:t>On day 5, the four-hour tail-flick test in the morphine-treated group as compared with the sham group showed the antinociceptive effect of morphine within the first 60 minutes after injection. This effect gradually decreased from 60 min after injection to 120 min and continued decreasing until 240 min when it became similar to the sham group. The results of the same test showed that in the ineffective dose of co-administration of naloxone along with morphine up to day 5, the analgesic effect of morphine could be maintained for two hours, but after 120 minutes gradually decreased and became similar to the sham group (Figure 2).</w:t>
      </w:r>
    </w:p>
    <w:p w14:paraId="14BE1BCC" w14:textId="77777777" w:rsidR="008439C3" w:rsidRPr="009007A3"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9007A3">
        <w:rPr>
          <w:rFonts w:asciiTheme="majorBidi" w:hAnsiTheme="majorBidi" w:cstheme="majorBidi"/>
          <w:color w:val="1C1E29"/>
        </w:rPr>
        <w:t>On day 8, the results of the tail-flick test in the morphine-treated group as compared to the sham group showed an analgesic effect within the first 30 minutes after injection. This effect gradually decreased from 30 min to 240 min when it approached the sham group. Results of the same test showed in the ineffective dose of co-administration of naloxone along with morphine up to day 8 that the antinociceptive effect of morphine was maintained for up to 240 minutes and was significant when compared to the sham and morphine groups (Figure 3).</w:t>
      </w:r>
    </w:p>
    <w:p w14:paraId="5C3D1136" w14:textId="77777777" w:rsidR="008439C3" w:rsidRPr="009007A3"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9007A3">
        <w:rPr>
          <w:rFonts w:asciiTheme="majorBidi" w:hAnsiTheme="majorBidi" w:cstheme="majorBidi"/>
          <w:color w:val="1C1E29"/>
        </w:rPr>
        <w:t>The results of an ineffective dose of naloxone for 8 days showed no significant antinociceptive effect on the experimental days. </w:t>
      </w:r>
    </w:p>
    <w:p w14:paraId="2DCA35FC" w14:textId="77777777" w:rsidR="008439C3" w:rsidRDefault="008439C3" w:rsidP="008439C3">
      <w:pPr>
        <w:pStyle w:val="NormalWeb"/>
        <w:spacing w:before="0" w:beforeAutospacing="0" w:after="0" w:afterAutospacing="0" w:line="480" w:lineRule="auto"/>
        <w:jc w:val="both"/>
        <w:rPr>
          <w:rFonts w:asciiTheme="majorBidi" w:hAnsiTheme="majorBidi" w:cstheme="majorBidi"/>
          <w:color w:val="1C1E29"/>
        </w:rPr>
      </w:pPr>
    </w:p>
    <w:p w14:paraId="4185D791" w14:textId="77777777" w:rsidR="008439C3" w:rsidRPr="00FE2A55" w:rsidRDefault="008439C3" w:rsidP="008439C3">
      <w:pPr>
        <w:pStyle w:val="NormalWeb"/>
        <w:spacing w:before="0" w:beforeAutospacing="0" w:after="0" w:afterAutospacing="0" w:line="480" w:lineRule="auto"/>
        <w:jc w:val="both"/>
        <w:rPr>
          <w:rFonts w:asciiTheme="majorBidi" w:hAnsiTheme="majorBidi" w:cstheme="majorBidi"/>
          <w:color w:val="1C1E29"/>
        </w:rPr>
      </w:pPr>
      <w:r>
        <w:rPr>
          <w:rFonts w:asciiTheme="majorBidi" w:hAnsiTheme="majorBidi" w:cstheme="majorBidi"/>
          <w:noProof/>
          <w:color w:val="1C1E29"/>
        </w:rPr>
        <w:lastRenderedPageBreak/>
        <w:drawing>
          <wp:inline distT="0" distB="0" distL="0" distR="0" wp14:anchorId="754A1F92" wp14:editId="37AA2331">
            <wp:extent cx="5724144" cy="343814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ata 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4144" cy="3438144"/>
                    </a:xfrm>
                    <a:prstGeom prst="rect">
                      <a:avLst/>
                    </a:prstGeom>
                  </pic:spPr>
                </pic:pic>
              </a:graphicData>
            </a:graphic>
          </wp:inline>
        </w:drawing>
      </w:r>
    </w:p>
    <w:p w14:paraId="46ABB968" w14:textId="77777777" w:rsidR="008439C3" w:rsidRPr="000D7F5E" w:rsidRDefault="008439C3" w:rsidP="008439C3">
      <w:pPr>
        <w:spacing w:after="0" w:line="480" w:lineRule="auto"/>
        <w:jc w:val="both"/>
        <w:rPr>
          <w:rFonts w:ascii="Times New Roman" w:eastAsia="Times New Roman" w:hAnsi="Times New Roman" w:cs="Times New Roman"/>
          <w:color w:val="1C1E29"/>
          <w:sz w:val="20"/>
          <w:szCs w:val="20"/>
        </w:rPr>
      </w:pPr>
      <w:r w:rsidRPr="000D7F5E">
        <w:rPr>
          <w:rFonts w:ascii="Times New Roman" w:eastAsia="Times New Roman" w:hAnsi="Times New Roman" w:cs="Times New Roman"/>
          <w:color w:val="1C1E29"/>
          <w:sz w:val="20"/>
          <w:szCs w:val="20"/>
        </w:rPr>
        <w:t>Figure 1. Maximum antinociceptive effect (MPAE%) after morphine injection on the first day. Tail flick test was measured at 30, 60, 120, 180 and 240 minutes after drug injection. In the MOR group, the antinociceptive effect of morphine decreased gradually from 120 min after injection to 240 min but remained significant when compared to the sham group. An ineffective dose of naloxone did not produce the antinociceptive effect in comparison to the sham group. NLX + MOR was able to produce a significant antinociceptive affect up to 180 minutes after injection when compared to the sham but gradually decreased after three hours. However, it was not able to sustain the analgesic effect when compared to the morphine group. The analgesic effect has shown as a percentage. P &lt;0.05 was considered a significant difference. (P &lt;0.01 **, *** P &lt;0.001, **** P &lt;0.0001)</w:t>
      </w:r>
      <w:r w:rsidRPr="000D7F5E">
        <w:rPr>
          <w:rFonts w:ascii="Times New Roman" w:eastAsia="Times New Roman" w:hAnsi="Times New Roman" w:cs="Times New Roman"/>
          <w:b/>
          <w:bCs/>
          <w:color w:val="1C1E29"/>
          <w:sz w:val="20"/>
          <w:szCs w:val="20"/>
        </w:rPr>
        <w:t> </w:t>
      </w:r>
    </w:p>
    <w:p w14:paraId="44F49B8E"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1514F215" wp14:editId="5F97DCF4">
            <wp:extent cx="5724144" cy="3136392"/>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ata 2.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4144" cy="3136392"/>
                    </a:xfrm>
                    <a:prstGeom prst="rect">
                      <a:avLst/>
                    </a:prstGeom>
                  </pic:spPr>
                </pic:pic>
              </a:graphicData>
            </a:graphic>
          </wp:inline>
        </w:drawing>
      </w:r>
    </w:p>
    <w:p w14:paraId="77006914" w14:textId="77777777" w:rsidR="008439C3" w:rsidRDefault="008439C3" w:rsidP="008439C3">
      <w:pPr>
        <w:autoSpaceDE w:val="0"/>
        <w:autoSpaceDN w:val="0"/>
        <w:adjustRightInd w:val="0"/>
        <w:spacing w:after="0" w:line="480" w:lineRule="auto"/>
        <w:jc w:val="both"/>
        <w:rPr>
          <w:rFonts w:asciiTheme="majorBidi" w:hAnsiTheme="majorBidi" w:cstheme="majorBidi"/>
          <w:sz w:val="20"/>
          <w:szCs w:val="20"/>
        </w:rPr>
      </w:pPr>
      <w:r w:rsidRPr="00CB38BE">
        <w:rPr>
          <w:rFonts w:asciiTheme="majorBidi" w:hAnsiTheme="majorBidi" w:cstheme="majorBidi"/>
          <w:sz w:val="20"/>
          <w:szCs w:val="20"/>
        </w:rPr>
        <w:lastRenderedPageBreak/>
        <w:t>Figure 2. Maximum antinociceptive effect (MPAE%) after morphine injection on day 5. Tail flick test was measured at 30, 60, 120, 180 and 240 minutes after drug injection. The four-hour tail-flick test in the morphine-treated group compared with the sham showed the maximum antinociceptive effect of morphine within the first 60 minutes after injection. It was gradually decreased from 60 min after injection to 120 min and continued until 240 min and became similar to the sham group. The results of the same test showed that in the ineffective dose of co-administration of naloxone along with morphine up to day 5, the antinociceptive effect of morphine could maintain for two hours, but after 120 minutes gradually decreased and became similar to the sham group. The effect of analgesia has shown as a percentage. P&lt;0.05 was considered a significant difference. (P &lt;0.01 **, *** P &lt;0.001, **** P</w:t>
      </w:r>
      <w:r>
        <w:t xml:space="preserve"> &lt;0.0001)</w:t>
      </w:r>
      <w:r>
        <w:rPr>
          <w:rStyle w:val="Strong"/>
          <w:color w:val="1C1E29"/>
        </w:rPr>
        <w:t> </w:t>
      </w:r>
    </w:p>
    <w:p w14:paraId="65CC23F1"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600467DD" wp14:editId="2411605B">
            <wp:extent cx="5353050" cy="306999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ata 3.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53906" cy="3070488"/>
                    </a:xfrm>
                    <a:prstGeom prst="rect">
                      <a:avLst/>
                    </a:prstGeom>
                  </pic:spPr>
                </pic:pic>
              </a:graphicData>
            </a:graphic>
          </wp:inline>
        </w:drawing>
      </w:r>
    </w:p>
    <w:p w14:paraId="638BC22B" w14:textId="77777777" w:rsidR="008439C3" w:rsidRPr="00FE2D4F" w:rsidRDefault="008439C3" w:rsidP="008439C3">
      <w:pPr>
        <w:spacing w:after="0" w:line="480" w:lineRule="auto"/>
        <w:jc w:val="both"/>
        <w:rPr>
          <w:rFonts w:ascii="Times New Roman" w:eastAsia="Times New Roman" w:hAnsi="Times New Roman" w:cs="Times New Roman"/>
          <w:color w:val="1C1E29"/>
          <w:sz w:val="20"/>
          <w:szCs w:val="20"/>
        </w:rPr>
      </w:pPr>
      <w:r w:rsidRPr="00FE2D4F">
        <w:rPr>
          <w:rFonts w:ascii="Times New Roman" w:eastAsia="Times New Roman" w:hAnsi="Times New Roman" w:cs="Times New Roman"/>
          <w:color w:val="1C1E29"/>
          <w:sz w:val="20"/>
          <w:szCs w:val="20"/>
        </w:rPr>
        <w:t>Figure 3. Maximum antinociceptive effect (MPAE%) after morphine injection on day 8. Tail flick test was measured at 30, 60, 120, 180 and 240 minutes after drug injection. The four- hour tail-flick test on day 8 in the MOR group compared with the sham group showed an antinociceptive effect of morphine within the first 30 minutes after injection. This effect gradually decreased from 30 to 240 minutes and became similar to the sham group. The results of the same test showed that in the ineffective dose of co-administration of naloxone along with morphine up to day 8 the antinociceptive effect of morphine maintained up to 240 minutes and was significant when compared to the sham and morphine groups. The numbers are shown as the maximum analgesic effect. P &lt;0.05 was considered a significant difference. (P &lt;0.05 *, *** P &lt;0.001, **** P &lt;0.0001).</w:t>
      </w:r>
    </w:p>
    <w:p w14:paraId="03A4E1DD"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sz w:val="24"/>
          <w:szCs w:val="24"/>
        </w:rPr>
      </w:pPr>
    </w:p>
    <w:p w14:paraId="67798086" w14:textId="77777777" w:rsidR="008439C3" w:rsidRPr="00FE2D4F" w:rsidRDefault="008439C3" w:rsidP="008439C3">
      <w:pPr>
        <w:spacing w:after="0" w:line="480" w:lineRule="auto"/>
        <w:jc w:val="both"/>
        <w:rPr>
          <w:rFonts w:ascii="Times New Roman" w:eastAsia="Times New Roman" w:hAnsi="Times New Roman" w:cs="Times New Roman"/>
          <w:color w:val="1C1E29"/>
          <w:sz w:val="24"/>
          <w:szCs w:val="24"/>
        </w:rPr>
      </w:pPr>
      <w:r>
        <w:rPr>
          <w:rFonts w:ascii="Times New Roman" w:eastAsia="Times New Roman" w:hAnsi="Times New Roman" w:cs="Times New Roman"/>
          <w:b/>
          <w:bCs/>
          <w:color w:val="1C1E29"/>
          <w:sz w:val="24"/>
          <w:szCs w:val="24"/>
        </w:rPr>
        <w:t>2</w:t>
      </w:r>
      <w:r w:rsidRPr="00FE2D4F">
        <w:rPr>
          <w:rFonts w:ascii="Times New Roman" w:eastAsia="Times New Roman" w:hAnsi="Times New Roman" w:cs="Times New Roman"/>
          <w:b/>
          <w:bCs/>
          <w:color w:val="1C1E29"/>
          <w:sz w:val="24"/>
          <w:szCs w:val="24"/>
        </w:rPr>
        <w:t>.2. Thermal hyperalgesia between days 1 and 10 using Hargreaves test</w:t>
      </w:r>
    </w:p>
    <w:p w14:paraId="3B447916"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color w:val="1C1E29"/>
          <w:sz w:val="24"/>
          <w:szCs w:val="24"/>
        </w:rPr>
        <w:t xml:space="preserve">The results of the withdrawal plantar test, which measure thermal hyperalgesia, showed there was no significant difference between experimental groups on the first day before drug injection. Eight consecutive days of morphine injection showed thermal hyperalgesia on day 10 (48 hours after the last </w:t>
      </w:r>
      <w:r w:rsidRPr="009007A3">
        <w:rPr>
          <w:rFonts w:asciiTheme="majorBidi" w:eastAsia="Times New Roman" w:hAnsiTheme="majorBidi" w:cstheme="majorBidi"/>
          <w:color w:val="1C1E29"/>
          <w:sz w:val="24"/>
          <w:szCs w:val="24"/>
        </w:rPr>
        <w:lastRenderedPageBreak/>
        <w:t>morphine injection) and before drug injection. A withdrawal plantar test on day 10 showed significant hyperalgesia in the morphine group, but in the ineffective dose of co-administration of naloxone along with morphine group there was no significant paw withdrawal when compared to the sham group. The naloxone groups did not show any significant antinociceptive effect (Figure 4).</w:t>
      </w:r>
    </w:p>
    <w:p w14:paraId="4CE603C1"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b/>
          <w:bCs/>
          <w:sz w:val="24"/>
          <w:szCs w:val="24"/>
        </w:rPr>
      </w:pPr>
      <w:r>
        <w:rPr>
          <w:rFonts w:asciiTheme="majorBidi" w:hAnsiTheme="majorBidi" w:cstheme="majorBidi"/>
          <w:b/>
          <w:bCs/>
          <w:noProof/>
          <w:sz w:val="24"/>
          <w:szCs w:val="24"/>
        </w:rPr>
        <w:drawing>
          <wp:inline distT="0" distB="0" distL="0" distR="0" wp14:anchorId="49AA3915" wp14:editId="225CB30C">
            <wp:extent cx="4992624" cy="275234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wo-way ANOVA , not RM.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92624" cy="2752344"/>
                    </a:xfrm>
                    <a:prstGeom prst="rect">
                      <a:avLst/>
                    </a:prstGeom>
                  </pic:spPr>
                </pic:pic>
              </a:graphicData>
            </a:graphic>
          </wp:inline>
        </w:drawing>
      </w:r>
    </w:p>
    <w:p w14:paraId="2F2AD6E2" w14:textId="77777777" w:rsidR="008439C3" w:rsidRPr="00FE2D4F" w:rsidRDefault="008439C3" w:rsidP="008439C3">
      <w:pPr>
        <w:spacing w:after="0" w:line="480" w:lineRule="auto"/>
        <w:jc w:val="both"/>
        <w:rPr>
          <w:rFonts w:ascii="Times New Roman" w:eastAsia="Times New Roman" w:hAnsi="Times New Roman" w:cs="Times New Roman"/>
          <w:color w:val="1C1E29"/>
          <w:sz w:val="20"/>
          <w:szCs w:val="20"/>
        </w:rPr>
      </w:pPr>
      <w:r w:rsidRPr="00FE2D4F">
        <w:rPr>
          <w:rFonts w:ascii="Times New Roman" w:eastAsia="Times New Roman" w:hAnsi="Times New Roman" w:cs="Times New Roman"/>
          <w:color w:val="1C1E29"/>
          <w:sz w:val="20"/>
          <w:szCs w:val="20"/>
        </w:rPr>
        <w:t>Figure 4. The results of the withdrawal plantar test which measure thermal hyperalgesia showed that there was no significant difference between experimental groups on the first day before drug injection. Consecutive 8 days of morphine injection showed thermal hyperalgesia on day 10 (48 hours after the last morphine injection) and before drug injection. Withdrawal plantar test on day 10 showed significant hyperalgesia in the morphine group but in the ineffective dose of co-administration of naloxone along with morphine group, there was no significant paw withdrawal when compared to sham. The naloxone groups did not show any significant antinociceptive effect. P &lt;0.05 was considered as the least significant difference.</w:t>
      </w:r>
    </w:p>
    <w:p w14:paraId="198278CA" w14:textId="77777777" w:rsidR="008439C3" w:rsidRPr="00FE2D4F" w:rsidRDefault="008439C3" w:rsidP="008439C3">
      <w:pPr>
        <w:spacing w:after="0" w:line="480" w:lineRule="auto"/>
        <w:jc w:val="both"/>
        <w:rPr>
          <w:rFonts w:ascii="Times New Roman" w:eastAsia="Times New Roman" w:hAnsi="Times New Roman" w:cs="Times New Roman"/>
          <w:color w:val="1C1E29"/>
          <w:sz w:val="20"/>
          <w:szCs w:val="20"/>
        </w:rPr>
      </w:pPr>
      <w:r w:rsidRPr="00FE2D4F">
        <w:rPr>
          <w:rFonts w:ascii="Times New Roman" w:eastAsia="Times New Roman" w:hAnsi="Times New Roman" w:cs="Times New Roman"/>
          <w:color w:val="1C1E29"/>
          <w:sz w:val="20"/>
          <w:szCs w:val="20"/>
        </w:rPr>
        <w:t>P &lt;0.0001 **** = Comparison of thermal hyperalgesia between morphine and sham groups</w:t>
      </w:r>
    </w:p>
    <w:p w14:paraId="3D60AB4F" w14:textId="77777777" w:rsidR="008439C3" w:rsidRPr="00A37B6A" w:rsidRDefault="008439C3" w:rsidP="008439C3">
      <w:pPr>
        <w:pStyle w:val="Default"/>
        <w:spacing w:line="480" w:lineRule="auto"/>
        <w:jc w:val="both"/>
        <w:rPr>
          <w:rFonts w:asciiTheme="majorBidi" w:hAnsiTheme="majorBidi" w:cstheme="majorBidi"/>
          <w:color w:val="auto"/>
        </w:rPr>
      </w:pPr>
    </w:p>
    <w:p w14:paraId="4098CBF1" w14:textId="77777777" w:rsidR="008439C3" w:rsidRPr="00FE2D4F" w:rsidRDefault="008439C3" w:rsidP="008439C3">
      <w:pPr>
        <w:spacing w:after="0" w:line="480" w:lineRule="auto"/>
        <w:jc w:val="both"/>
        <w:rPr>
          <w:rFonts w:ascii="Times New Roman" w:eastAsia="Times New Roman" w:hAnsi="Times New Roman" w:cs="Times New Roman"/>
          <w:color w:val="1C1E29"/>
          <w:sz w:val="24"/>
          <w:szCs w:val="24"/>
        </w:rPr>
      </w:pPr>
      <w:bookmarkStart w:id="8" w:name="_Hlk30592286"/>
      <w:r>
        <w:rPr>
          <w:rFonts w:ascii="Times New Roman" w:eastAsia="Times New Roman" w:hAnsi="Times New Roman" w:cs="Times New Roman"/>
          <w:b/>
          <w:bCs/>
          <w:color w:val="1C1E29"/>
          <w:sz w:val="24"/>
          <w:szCs w:val="24"/>
        </w:rPr>
        <w:t>2</w:t>
      </w:r>
      <w:r w:rsidRPr="00FE2D4F">
        <w:rPr>
          <w:rFonts w:ascii="Times New Roman" w:eastAsia="Times New Roman" w:hAnsi="Times New Roman" w:cs="Times New Roman"/>
          <w:b/>
          <w:bCs/>
          <w:color w:val="1C1E29"/>
          <w:sz w:val="24"/>
          <w:szCs w:val="24"/>
        </w:rPr>
        <w:t>.3. BDNF protein expression changes following chronic administration of morphine</w:t>
      </w:r>
    </w:p>
    <w:bookmarkEnd w:id="8"/>
    <w:p w14:paraId="40D4B903"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color w:val="1C1E29"/>
          <w:sz w:val="24"/>
          <w:szCs w:val="24"/>
        </w:rPr>
        <w:t>Western blot analysis showed the administration of morphine for 8 consecutive days increased BDNF protein expression in spinal dorsal horn neurons on days 8 and 10. Co-administration of an ineffective dose of naloxone along with morphine decreased the BDNF expression. The decreased expression of BDNF on day 8 was greater than day 10. There were no significant changes in BDNF expression between the ineffective dose of naloxone and sham groups (Figure 5).</w:t>
      </w:r>
    </w:p>
    <w:p w14:paraId="3BCA8779" w14:textId="77777777" w:rsidR="008439C3" w:rsidRPr="00A37B6A" w:rsidRDefault="008439C3" w:rsidP="008439C3">
      <w:pPr>
        <w:pStyle w:val="Default"/>
        <w:spacing w:line="480" w:lineRule="auto"/>
        <w:jc w:val="both"/>
        <w:rPr>
          <w:rFonts w:asciiTheme="majorBidi" w:hAnsiTheme="majorBidi" w:cstheme="majorBidi"/>
          <w:color w:val="FF0000"/>
        </w:rPr>
      </w:pPr>
    </w:p>
    <w:p w14:paraId="63BC0F90"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b/>
          <w:bCs/>
          <w:sz w:val="24"/>
          <w:szCs w:val="24"/>
        </w:rPr>
      </w:pPr>
      <w:r w:rsidRPr="00A37B6A">
        <w:rPr>
          <w:rFonts w:asciiTheme="majorBidi" w:hAnsiTheme="majorBidi" w:cstheme="majorBidi"/>
          <w:b/>
          <w:bCs/>
          <w:noProof/>
          <w:sz w:val="24"/>
          <w:szCs w:val="24"/>
        </w:rPr>
        <w:lastRenderedPageBreak/>
        <w:drawing>
          <wp:inline distT="0" distB="0" distL="0" distR="0" wp14:anchorId="594D93B9" wp14:editId="1028FB2C">
            <wp:extent cx="5343525" cy="1826260"/>
            <wp:effectExtent l="0" t="0" r="952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11.jpg"/>
                    <pic:cNvPicPr/>
                  </pic:nvPicPr>
                  <pic:blipFill>
                    <a:blip r:embed="rId12">
                      <a:extLst>
                        <a:ext uri="{28A0092B-C50C-407E-A947-70E740481C1C}">
                          <a14:useLocalDpi xmlns:a14="http://schemas.microsoft.com/office/drawing/2010/main" val="0"/>
                        </a:ext>
                      </a:extLst>
                    </a:blip>
                    <a:stretch>
                      <a:fillRect/>
                    </a:stretch>
                  </pic:blipFill>
                  <pic:spPr>
                    <a:xfrm>
                      <a:off x="0" y="0"/>
                      <a:ext cx="5350012" cy="1828477"/>
                    </a:xfrm>
                    <a:prstGeom prst="rect">
                      <a:avLst/>
                    </a:prstGeom>
                  </pic:spPr>
                </pic:pic>
              </a:graphicData>
            </a:graphic>
          </wp:inline>
        </w:drawing>
      </w:r>
    </w:p>
    <w:p w14:paraId="40ADE2A6"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b/>
          <w:bCs/>
          <w:sz w:val="24"/>
          <w:szCs w:val="24"/>
        </w:rPr>
      </w:pPr>
      <w:r>
        <w:rPr>
          <w:rFonts w:asciiTheme="majorBidi" w:hAnsiTheme="majorBidi" w:cstheme="majorBidi"/>
          <w:b/>
          <w:bCs/>
          <w:noProof/>
          <w:sz w:val="24"/>
          <w:szCs w:val="24"/>
        </w:rPr>
        <w:drawing>
          <wp:inline distT="0" distB="0" distL="0" distR="0" wp14:anchorId="0F388E18" wp14:editId="07AFF0A9">
            <wp:extent cx="5248656" cy="313182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ata 4.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48656" cy="3131820"/>
                    </a:xfrm>
                    <a:prstGeom prst="rect">
                      <a:avLst/>
                    </a:prstGeom>
                  </pic:spPr>
                </pic:pic>
              </a:graphicData>
            </a:graphic>
          </wp:inline>
        </w:drawing>
      </w:r>
    </w:p>
    <w:p w14:paraId="69DCE440" w14:textId="77777777" w:rsidR="008439C3" w:rsidRPr="00DB63D9" w:rsidRDefault="008439C3" w:rsidP="008439C3">
      <w:pPr>
        <w:spacing w:after="0" w:line="480" w:lineRule="auto"/>
        <w:jc w:val="both"/>
        <w:rPr>
          <w:rFonts w:ascii="Times New Roman" w:eastAsia="Times New Roman" w:hAnsi="Times New Roman" w:cs="Times New Roman"/>
          <w:color w:val="1C1E29"/>
          <w:sz w:val="20"/>
          <w:szCs w:val="20"/>
        </w:rPr>
      </w:pPr>
      <w:bookmarkStart w:id="9" w:name="_Hlk30593081"/>
      <w:r w:rsidRPr="00FE2D4F">
        <w:rPr>
          <w:rFonts w:ascii="Times New Roman" w:eastAsia="Times New Roman" w:hAnsi="Times New Roman" w:cs="Times New Roman"/>
          <w:color w:val="1C1E29"/>
          <w:sz w:val="20"/>
          <w:szCs w:val="20"/>
        </w:rPr>
        <w:t>Figure 5. The chart of altered expression of BDNF and β actin proteins following chronic administration of morphine. Chronic administration of morphine for consecutive 8 days increased the expression of BDNF in the spinal dorsal horn</w:t>
      </w:r>
      <w:r>
        <w:rPr>
          <w:rFonts w:ascii="Times New Roman" w:eastAsia="Times New Roman" w:hAnsi="Times New Roman" w:cs="Times New Roman"/>
          <w:color w:val="1C1E29"/>
          <w:sz w:val="20"/>
          <w:szCs w:val="20"/>
        </w:rPr>
        <w:t xml:space="preserve"> neurons on days 8 and 10</w:t>
      </w:r>
      <w:r w:rsidRPr="00FE2D4F">
        <w:rPr>
          <w:rFonts w:ascii="Times New Roman" w:eastAsia="Times New Roman" w:hAnsi="Times New Roman" w:cs="Times New Roman"/>
          <w:color w:val="1C1E29"/>
          <w:sz w:val="20"/>
          <w:szCs w:val="20"/>
        </w:rPr>
        <w:t xml:space="preserve">. BDNF expression in the NLX + SAL group was similar to the sham group. Co-administration 10ng daily injection of naloxone </w:t>
      </w:r>
      <w:r>
        <w:rPr>
          <w:rFonts w:ascii="Times New Roman" w:eastAsia="Times New Roman" w:hAnsi="Times New Roman" w:cs="Times New Roman"/>
          <w:color w:val="1C1E29"/>
          <w:sz w:val="20"/>
          <w:szCs w:val="20"/>
        </w:rPr>
        <w:t>along with</w:t>
      </w:r>
      <w:r w:rsidRPr="00FE2D4F">
        <w:rPr>
          <w:rFonts w:ascii="Times New Roman" w:eastAsia="Times New Roman" w:hAnsi="Times New Roman" w:cs="Times New Roman"/>
          <w:color w:val="1C1E29"/>
          <w:sz w:val="20"/>
          <w:szCs w:val="20"/>
        </w:rPr>
        <w:t xml:space="preserve"> morphine decreased the BDNF expression</w:t>
      </w:r>
      <w:r w:rsidRPr="00F1365A">
        <w:rPr>
          <w:rFonts w:ascii="Times New Roman" w:eastAsia="Times New Roman" w:hAnsi="Times New Roman" w:cs="Times New Roman"/>
          <w:color w:val="1C1E29"/>
          <w:sz w:val="20"/>
          <w:szCs w:val="20"/>
        </w:rPr>
        <w:t xml:space="preserve"> </w:t>
      </w:r>
      <w:r>
        <w:rPr>
          <w:rFonts w:ascii="Times New Roman" w:eastAsia="Times New Roman" w:hAnsi="Times New Roman" w:cs="Times New Roman"/>
          <w:color w:val="1C1E29"/>
          <w:sz w:val="20"/>
          <w:szCs w:val="20"/>
        </w:rPr>
        <w:t>on days 8 and 10</w:t>
      </w:r>
      <w:r w:rsidRPr="00FE2D4F">
        <w:rPr>
          <w:rFonts w:ascii="Times New Roman" w:eastAsia="Times New Roman" w:hAnsi="Times New Roman" w:cs="Times New Roman"/>
          <w:color w:val="1C1E29"/>
          <w:sz w:val="20"/>
          <w:szCs w:val="20"/>
        </w:rPr>
        <w:t xml:space="preserve">. </w:t>
      </w:r>
      <w:r w:rsidRPr="00D270CD">
        <w:rPr>
          <w:rFonts w:ascii="Times New Roman" w:eastAsia="Times New Roman" w:hAnsi="Times New Roman" w:cs="Times New Roman"/>
          <w:color w:val="1C1E29"/>
          <w:sz w:val="20"/>
          <w:szCs w:val="20"/>
        </w:rPr>
        <w:t>The decreased expression of BDNF on day 8 was greater than day 10.</w:t>
      </w:r>
      <w:r w:rsidRPr="00FE2D4F">
        <w:rPr>
          <w:rFonts w:ascii="Times New Roman" w:eastAsia="Times New Roman" w:hAnsi="Times New Roman" w:cs="Times New Roman"/>
          <w:color w:val="1C1E29"/>
          <w:sz w:val="24"/>
          <w:szCs w:val="24"/>
        </w:rPr>
        <w:t xml:space="preserve"> </w:t>
      </w:r>
      <w:r w:rsidRPr="00FE2D4F">
        <w:rPr>
          <w:rFonts w:ascii="Times New Roman" w:eastAsia="Times New Roman" w:hAnsi="Times New Roman" w:cs="Times New Roman"/>
          <w:color w:val="1C1E29"/>
          <w:sz w:val="20"/>
          <w:szCs w:val="20"/>
        </w:rPr>
        <w:t>Results were compared by BDNF bands to β actin. (****P &lt;0.0001).</w:t>
      </w:r>
      <w:bookmarkEnd w:id="9"/>
    </w:p>
    <w:p w14:paraId="5A2D654F"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b/>
          <w:bCs/>
          <w:sz w:val="24"/>
          <w:szCs w:val="24"/>
        </w:rPr>
      </w:pPr>
      <w:r>
        <w:rPr>
          <w:rFonts w:asciiTheme="majorBidi" w:hAnsiTheme="majorBidi" w:cstheme="majorBidi"/>
          <w:b/>
          <w:bCs/>
          <w:sz w:val="24"/>
          <w:szCs w:val="24"/>
        </w:rPr>
        <w:t>2</w:t>
      </w:r>
      <w:r w:rsidRPr="00A37B6A">
        <w:rPr>
          <w:rFonts w:asciiTheme="majorBidi" w:hAnsiTheme="majorBidi" w:cstheme="majorBidi"/>
          <w:b/>
          <w:bCs/>
          <w:sz w:val="24"/>
          <w:szCs w:val="24"/>
        </w:rPr>
        <w:t>.4. KCC2 expression Following chronic administration of morphine using immunohistochemical technique</w:t>
      </w:r>
    </w:p>
    <w:p w14:paraId="1A945D6B" w14:textId="77777777" w:rsidR="008439C3" w:rsidRPr="009007A3" w:rsidRDefault="008439C3" w:rsidP="008439C3">
      <w:pPr>
        <w:autoSpaceDE w:val="0"/>
        <w:autoSpaceDN w:val="0"/>
        <w:adjustRightInd w:val="0"/>
        <w:spacing w:after="0" w:line="480" w:lineRule="auto"/>
        <w:jc w:val="both"/>
        <w:rPr>
          <w:rFonts w:asciiTheme="majorBidi" w:hAnsiTheme="majorBidi" w:cstheme="majorBidi"/>
          <w:color w:val="FF0000"/>
          <w:sz w:val="24"/>
          <w:szCs w:val="24"/>
        </w:rPr>
      </w:pPr>
      <w:r w:rsidRPr="009007A3">
        <w:rPr>
          <w:rFonts w:asciiTheme="majorBidi" w:hAnsiTheme="majorBidi" w:cstheme="majorBidi"/>
          <w:sz w:val="24"/>
          <w:szCs w:val="24"/>
        </w:rPr>
        <w:t xml:space="preserve">Immunohistochemical analysis of KCC2 in the lumbar section of the spinal cord following chronic administration of morphine for 8 consecutive days showed a significant decrease of KCC2 on day 8 (tolerance) and day 10 (hyperalgesia) when compared to the sham group. Co-administration of 10ng daily injection of naloxone along with morphine increased the expression of KCC2 in the spinal dorsal horn neurons on days 8 and 10 when compared to the sham group (Figure 6). Since both results on days </w:t>
      </w:r>
      <w:r w:rsidRPr="009007A3">
        <w:rPr>
          <w:rFonts w:asciiTheme="majorBidi" w:hAnsiTheme="majorBidi" w:cstheme="majorBidi"/>
          <w:sz w:val="24"/>
          <w:szCs w:val="24"/>
        </w:rPr>
        <w:lastRenderedPageBreak/>
        <w:t>8 and 10 were similar and there were no significant changes of KCC2 in the dorsal horn neurons between days 8 and 10, we indicated day 10 images.</w:t>
      </w:r>
    </w:p>
    <w:p w14:paraId="48D0A3EB"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p>
    <w:p w14:paraId="072D443E"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color w:val="FF0000"/>
          <w:sz w:val="24"/>
          <w:szCs w:val="24"/>
        </w:rPr>
      </w:pPr>
      <w:r w:rsidRPr="0072578A">
        <w:rPr>
          <w:rFonts w:asciiTheme="majorBidi" w:hAnsiTheme="majorBidi" w:cstheme="majorBidi"/>
          <w:sz w:val="24"/>
          <w:szCs w:val="24"/>
        </w:rPr>
        <w:t>.</w:t>
      </w:r>
    </w:p>
    <w:p w14:paraId="6E9FB824"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color w:val="FF0000"/>
          <w:sz w:val="24"/>
          <w:szCs w:val="24"/>
        </w:rPr>
      </w:pPr>
    </w:p>
    <w:p w14:paraId="00683112"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sz w:val="24"/>
          <w:szCs w:val="24"/>
        </w:rPr>
      </w:pPr>
    </w:p>
    <w:p w14:paraId="382F39E9"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sz w:val="24"/>
          <w:szCs w:val="24"/>
        </w:rPr>
      </w:pPr>
    </w:p>
    <w:p w14:paraId="06CD663B"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sz w:val="24"/>
          <w:szCs w:val="24"/>
        </w:rPr>
      </w:pPr>
    </w:p>
    <w:p w14:paraId="10D7AB58"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sz w:val="24"/>
          <w:szCs w:val="24"/>
        </w:rPr>
      </w:pPr>
    </w:p>
    <w:p w14:paraId="3CD51481"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sz w:val="24"/>
          <w:szCs w:val="24"/>
        </w:rPr>
      </w:pPr>
    </w:p>
    <w:p w14:paraId="558061EB"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sz w:val="24"/>
          <w:szCs w:val="24"/>
        </w:rPr>
      </w:pPr>
    </w:p>
    <w:p w14:paraId="39395208"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sz w:val="24"/>
          <w:szCs w:val="24"/>
        </w:rPr>
      </w:pPr>
    </w:p>
    <w:p w14:paraId="670CD8B1"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b/>
          <w:bCs/>
          <w:sz w:val="24"/>
          <w:szCs w:val="24"/>
        </w:rPr>
      </w:pPr>
      <w:r w:rsidRPr="00A37B6A">
        <w:rPr>
          <w:rFonts w:asciiTheme="majorBidi" w:hAnsiTheme="majorBidi" w:cstheme="majorBidi"/>
          <w:b/>
          <w:bCs/>
          <w:noProof/>
          <w:sz w:val="24"/>
          <w:szCs w:val="24"/>
        </w:rPr>
        <w:drawing>
          <wp:inline distT="0" distB="0" distL="0" distR="0" wp14:anchorId="03B030E1" wp14:editId="194FE508">
            <wp:extent cx="5943600" cy="246253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l.jpg"/>
                    <pic:cNvPicPr/>
                  </pic:nvPicPr>
                  <pic:blipFill>
                    <a:blip r:embed="rId14">
                      <a:extLst>
                        <a:ext uri="{28A0092B-C50C-407E-A947-70E740481C1C}">
                          <a14:useLocalDpi xmlns:a14="http://schemas.microsoft.com/office/drawing/2010/main" val="0"/>
                        </a:ext>
                      </a:extLst>
                    </a:blip>
                    <a:stretch>
                      <a:fillRect/>
                    </a:stretch>
                  </pic:blipFill>
                  <pic:spPr>
                    <a:xfrm>
                      <a:off x="0" y="0"/>
                      <a:ext cx="5943600" cy="2462530"/>
                    </a:xfrm>
                    <a:prstGeom prst="rect">
                      <a:avLst/>
                    </a:prstGeom>
                  </pic:spPr>
                </pic:pic>
              </a:graphicData>
            </a:graphic>
          </wp:inline>
        </w:drawing>
      </w:r>
    </w:p>
    <w:p w14:paraId="72E1EBB1" w14:textId="77777777" w:rsidR="008439C3" w:rsidRPr="00A37B6A" w:rsidRDefault="008439C3" w:rsidP="008439C3">
      <w:pPr>
        <w:autoSpaceDE w:val="0"/>
        <w:autoSpaceDN w:val="0"/>
        <w:adjustRightInd w:val="0"/>
        <w:spacing w:after="0" w:line="480" w:lineRule="auto"/>
        <w:jc w:val="both"/>
        <w:rPr>
          <w:rFonts w:asciiTheme="majorBidi" w:hAnsiTheme="majorBidi" w:cstheme="majorBidi"/>
          <w:b/>
          <w:bCs/>
          <w:sz w:val="24"/>
          <w:szCs w:val="24"/>
        </w:rPr>
      </w:pPr>
    </w:p>
    <w:p w14:paraId="601BECFF" w14:textId="77777777" w:rsidR="008439C3" w:rsidRPr="00A37B6A" w:rsidRDefault="008439C3" w:rsidP="008439C3">
      <w:pPr>
        <w:pStyle w:val="NormalWeb"/>
        <w:spacing w:before="0" w:beforeAutospacing="0" w:after="0" w:afterAutospacing="0" w:line="480" w:lineRule="auto"/>
        <w:jc w:val="both"/>
        <w:rPr>
          <w:rFonts w:asciiTheme="majorBidi" w:hAnsiTheme="majorBidi" w:cstheme="majorBidi"/>
          <w:color w:val="000000" w:themeColor="text1"/>
        </w:rPr>
      </w:pPr>
      <w:r>
        <w:rPr>
          <w:rFonts w:asciiTheme="majorBidi" w:hAnsiTheme="majorBidi" w:cstheme="majorBidi"/>
          <w:noProof/>
          <w:color w:val="000000" w:themeColor="text1"/>
        </w:rPr>
        <w:lastRenderedPageBreak/>
        <w:drawing>
          <wp:inline distT="0" distB="0" distL="0" distR="0" wp14:anchorId="29122DB6" wp14:editId="397075BC">
            <wp:extent cx="5886450" cy="3521194"/>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ata 5.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99518" cy="3529011"/>
                    </a:xfrm>
                    <a:prstGeom prst="rect">
                      <a:avLst/>
                    </a:prstGeom>
                  </pic:spPr>
                </pic:pic>
              </a:graphicData>
            </a:graphic>
          </wp:inline>
        </w:drawing>
      </w:r>
    </w:p>
    <w:p w14:paraId="2A5FCAAE" w14:textId="77777777" w:rsidR="008439C3" w:rsidRDefault="008439C3" w:rsidP="008439C3">
      <w:pPr>
        <w:autoSpaceDE w:val="0"/>
        <w:autoSpaceDN w:val="0"/>
        <w:adjustRightInd w:val="0"/>
        <w:spacing w:after="0" w:line="480" w:lineRule="auto"/>
        <w:jc w:val="both"/>
        <w:rPr>
          <w:rFonts w:asciiTheme="majorBidi" w:hAnsiTheme="majorBidi" w:cstheme="majorBidi"/>
          <w:sz w:val="20"/>
          <w:szCs w:val="20"/>
        </w:rPr>
      </w:pPr>
      <w:r w:rsidRPr="0072578A">
        <w:rPr>
          <w:rFonts w:asciiTheme="majorBidi" w:hAnsiTheme="majorBidi" w:cstheme="majorBidi"/>
          <w:sz w:val="20"/>
          <w:szCs w:val="20"/>
        </w:rPr>
        <w:t xml:space="preserve">Figure 6. </w:t>
      </w:r>
      <w:bookmarkStart w:id="10" w:name="_Hlk30097380"/>
      <w:r w:rsidRPr="0072578A">
        <w:rPr>
          <w:rFonts w:asciiTheme="majorBidi" w:hAnsiTheme="majorBidi" w:cstheme="majorBidi"/>
          <w:sz w:val="20"/>
          <w:szCs w:val="20"/>
        </w:rPr>
        <w:t>Immunohistochemical analysis of KCC2 in lumbar section of spinal cord following chronic administration of morphine for consecutive 8 days showed a significant decreas</w:t>
      </w:r>
      <w:r>
        <w:rPr>
          <w:rFonts w:asciiTheme="majorBidi" w:hAnsiTheme="majorBidi" w:cstheme="majorBidi"/>
          <w:sz w:val="20"/>
          <w:szCs w:val="20"/>
        </w:rPr>
        <w:t>e</w:t>
      </w:r>
      <w:r w:rsidRPr="0072578A">
        <w:rPr>
          <w:rFonts w:asciiTheme="majorBidi" w:hAnsiTheme="majorBidi" w:cstheme="majorBidi"/>
          <w:sz w:val="20"/>
          <w:szCs w:val="20"/>
        </w:rPr>
        <w:t xml:space="preserve"> of KCC2 </w:t>
      </w:r>
      <w:r>
        <w:rPr>
          <w:rFonts w:asciiTheme="majorBidi" w:hAnsiTheme="majorBidi" w:cstheme="majorBidi"/>
          <w:sz w:val="20"/>
          <w:szCs w:val="20"/>
        </w:rPr>
        <w:t>o</w:t>
      </w:r>
      <w:r w:rsidRPr="0072578A">
        <w:rPr>
          <w:rFonts w:asciiTheme="majorBidi" w:hAnsiTheme="majorBidi" w:cstheme="majorBidi"/>
          <w:sz w:val="20"/>
          <w:szCs w:val="20"/>
        </w:rPr>
        <w:t xml:space="preserve">n day 8 (tolerance) and 10 (hyperalgesia) when compared to the sham group. Co-administration </w:t>
      </w:r>
      <w:r w:rsidRPr="0072578A">
        <w:rPr>
          <w:rFonts w:asciiTheme="majorBidi" w:hAnsiTheme="majorBidi" w:cstheme="majorBidi"/>
          <w:color w:val="000000" w:themeColor="text1"/>
          <w:sz w:val="20"/>
          <w:szCs w:val="20"/>
        </w:rPr>
        <w:t xml:space="preserve">10ng daily injection of naloxone </w:t>
      </w:r>
      <w:r>
        <w:rPr>
          <w:rFonts w:asciiTheme="majorBidi" w:hAnsiTheme="majorBidi" w:cstheme="majorBidi"/>
          <w:color w:val="000000" w:themeColor="text1"/>
          <w:sz w:val="20"/>
          <w:szCs w:val="20"/>
        </w:rPr>
        <w:t>along with</w:t>
      </w:r>
      <w:r w:rsidRPr="0072578A">
        <w:rPr>
          <w:rFonts w:asciiTheme="majorBidi" w:hAnsiTheme="majorBidi" w:cstheme="majorBidi"/>
          <w:color w:val="000000" w:themeColor="text1"/>
          <w:sz w:val="20"/>
          <w:szCs w:val="20"/>
        </w:rPr>
        <w:t xml:space="preserve"> morphine </w:t>
      </w:r>
      <w:r w:rsidRPr="0072578A">
        <w:rPr>
          <w:rFonts w:asciiTheme="majorBidi" w:hAnsiTheme="majorBidi" w:cstheme="majorBidi"/>
          <w:sz w:val="20"/>
          <w:szCs w:val="20"/>
        </w:rPr>
        <w:t xml:space="preserve">increased the expression of KCC2 in the spinal dorsal horn neurons on days 8 and 10 when compared to sham group. </w:t>
      </w:r>
      <w:bookmarkEnd w:id="10"/>
      <w:r w:rsidRPr="0072578A">
        <w:rPr>
          <w:rFonts w:asciiTheme="majorBidi" w:hAnsiTheme="majorBidi" w:cstheme="majorBidi"/>
          <w:sz w:val="20"/>
          <w:szCs w:val="20"/>
        </w:rPr>
        <w:t>Since both results on days, 8 and 10 were similar and there were no significant changes of KCC2 in the dorsal horn</w:t>
      </w:r>
      <w:r>
        <w:rPr>
          <w:rFonts w:asciiTheme="majorBidi" w:hAnsiTheme="majorBidi" w:cstheme="majorBidi"/>
          <w:sz w:val="20"/>
          <w:szCs w:val="20"/>
        </w:rPr>
        <w:t xml:space="preserve"> neurons</w:t>
      </w:r>
      <w:r w:rsidRPr="0072578A">
        <w:rPr>
          <w:rFonts w:asciiTheme="majorBidi" w:hAnsiTheme="majorBidi" w:cstheme="majorBidi"/>
          <w:sz w:val="20"/>
          <w:szCs w:val="20"/>
        </w:rPr>
        <w:t xml:space="preserve"> between days 8 and 10 we </w:t>
      </w:r>
      <w:r>
        <w:rPr>
          <w:rFonts w:asciiTheme="majorBidi" w:hAnsiTheme="majorBidi" w:cstheme="majorBidi"/>
          <w:sz w:val="20"/>
          <w:szCs w:val="20"/>
        </w:rPr>
        <w:t>indicated</w:t>
      </w:r>
      <w:r w:rsidRPr="0072578A">
        <w:rPr>
          <w:rFonts w:asciiTheme="majorBidi" w:hAnsiTheme="majorBidi" w:cstheme="majorBidi"/>
          <w:sz w:val="20"/>
          <w:szCs w:val="20"/>
        </w:rPr>
        <w:t xml:space="preserve"> day 10</w:t>
      </w:r>
      <w:r>
        <w:rPr>
          <w:rFonts w:asciiTheme="majorBidi" w:hAnsiTheme="majorBidi" w:cstheme="majorBidi"/>
          <w:sz w:val="20"/>
          <w:szCs w:val="20"/>
        </w:rPr>
        <w:t xml:space="preserve"> image</w:t>
      </w:r>
      <w:r w:rsidRPr="0072578A">
        <w:rPr>
          <w:rFonts w:asciiTheme="majorBidi" w:hAnsiTheme="majorBidi" w:cstheme="majorBidi"/>
          <w:sz w:val="20"/>
          <w:szCs w:val="20"/>
        </w:rPr>
        <w:t>s. Microscopic images of the intensity of KCC2 cotransporter in the spinal cord in Sham, MOR, NLX + MOR and NLX + SAL groups are shown with two magnifications 10* and 40*. (*P &lt;0.05, ** P &lt;0.01).</w:t>
      </w:r>
    </w:p>
    <w:p w14:paraId="37EF3919" w14:textId="77777777" w:rsidR="008439C3" w:rsidRPr="0072578A" w:rsidRDefault="008439C3" w:rsidP="008439C3">
      <w:pPr>
        <w:autoSpaceDE w:val="0"/>
        <w:autoSpaceDN w:val="0"/>
        <w:adjustRightInd w:val="0"/>
        <w:spacing w:after="0" w:line="480" w:lineRule="auto"/>
        <w:jc w:val="both"/>
        <w:rPr>
          <w:rFonts w:asciiTheme="majorBidi" w:hAnsiTheme="majorBidi" w:cstheme="majorBidi"/>
          <w:color w:val="FF0000"/>
          <w:sz w:val="20"/>
          <w:szCs w:val="20"/>
        </w:rPr>
      </w:pPr>
    </w:p>
    <w:p w14:paraId="6F6E3D49" w14:textId="77777777" w:rsidR="008439C3" w:rsidRPr="00877022" w:rsidRDefault="008439C3" w:rsidP="008439C3">
      <w:pPr>
        <w:spacing w:after="0" w:line="480" w:lineRule="auto"/>
        <w:jc w:val="both"/>
        <w:rPr>
          <w:rFonts w:ascii="Times New Roman" w:eastAsia="Times New Roman" w:hAnsi="Times New Roman" w:cs="Times New Roman"/>
          <w:color w:val="1C1E29"/>
          <w:sz w:val="24"/>
          <w:szCs w:val="24"/>
        </w:rPr>
      </w:pPr>
    </w:p>
    <w:p w14:paraId="7332051D" w14:textId="77777777" w:rsidR="008439C3" w:rsidRPr="00877022" w:rsidRDefault="008439C3" w:rsidP="008439C3">
      <w:pPr>
        <w:spacing w:after="0" w:line="480" w:lineRule="auto"/>
        <w:jc w:val="both"/>
        <w:rPr>
          <w:rFonts w:ascii="Times New Roman" w:eastAsia="Times New Roman" w:hAnsi="Times New Roman" w:cs="Times New Roman"/>
          <w:color w:val="1C1E29"/>
          <w:sz w:val="24"/>
          <w:szCs w:val="24"/>
        </w:rPr>
      </w:pPr>
      <w:r>
        <w:rPr>
          <w:rFonts w:ascii="Times New Roman" w:eastAsia="Times New Roman" w:hAnsi="Times New Roman" w:cs="Times New Roman"/>
          <w:b/>
          <w:bCs/>
          <w:color w:val="1C1E29"/>
          <w:sz w:val="24"/>
          <w:szCs w:val="24"/>
        </w:rPr>
        <w:t>3</w:t>
      </w:r>
      <w:r w:rsidRPr="00877022">
        <w:rPr>
          <w:rFonts w:ascii="Times New Roman" w:eastAsia="Times New Roman" w:hAnsi="Times New Roman" w:cs="Times New Roman"/>
          <w:b/>
          <w:bCs/>
          <w:color w:val="1C1E29"/>
          <w:sz w:val="24"/>
          <w:szCs w:val="24"/>
        </w:rPr>
        <w:t>. Discussion</w:t>
      </w:r>
    </w:p>
    <w:p w14:paraId="60FB2371"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color w:val="1C1E29"/>
          <w:sz w:val="24"/>
          <w:szCs w:val="24"/>
        </w:rPr>
        <w:t xml:space="preserve">Our study showed that intraperitoneal administration of morphine for 8 continuous days led to morphine antinociceptive tolerance and thermal hyperalgesia in rats. Coadministration of an ultra-low dose of naloxone along with morphine showed a controversial role intolerance. In other words, on the first day that morphine showed maximum antinociceptive effect naloxone didn’t have any effect, but gradually by the manifestation of tolerance and hyperalgesia, naloxone was able to improve and reduce tolerance and hyperalgesia by gradually manifesting them especially at day 8 and 10, respectively. It seems that naloxone had no effect until tolerance or hyperalgesia were established. Thus, our results showed the improving effects of coadministration of naloxone along with morphine but not alone. Our </w:t>
      </w:r>
      <w:r w:rsidRPr="009007A3">
        <w:rPr>
          <w:rFonts w:asciiTheme="majorBidi" w:eastAsia="Times New Roman" w:hAnsiTheme="majorBidi" w:cstheme="majorBidi"/>
          <w:color w:val="1C1E29"/>
          <w:sz w:val="24"/>
          <w:szCs w:val="24"/>
        </w:rPr>
        <w:lastRenderedPageBreak/>
        <w:t xml:space="preserve">results were in agreement with previous studies. It has been previously demonstrated that chronic injection of intraperitoneal, subcutaneous, or intrathecal morphine produce tolerance and hyperalgesia </w:t>
      </w:r>
      <w:r w:rsidRPr="009007A3">
        <w:rPr>
          <w:rFonts w:asciiTheme="majorBidi" w:hAnsiTheme="majorBidi" w:cstheme="majorBidi"/>
          <w:noProof/>
          <w:sz w:val="24"/>
          <w:szCs w:val="24"/>
        </w:rPr>
        <w:t>(15, 16)</w:t>
      </w:r>
      <w:r w:rsidRPr="009007A3">
        <w:rPr>
          <w:rFonts w:asciiTheme="majorBidi" w:eastAsia="Times New Roman" w:hAnsiTheme="majorBidi" w:cstheme="majorBidi"/>
          <w:color w:val="1C1E29"/>
          <w:sz w:val="24"/>
          <w:szCs w:val="24"/>
        </w:rPr>
        <w:t xml:space="preserve">. However, the development of hyperalgesia depends on the duration and dose of morphine </w:t>
      </w:r>
      <w:r w:rsidRPr="009007A3">
        <w:rPr>
          <w:rFonts w:asciiTheme="majorBidi" w:hAnsiTheme="majorBidi" w:cstheme="majorBidi"/>
          <w:noProof/>
          <w:color w:val="000000" w:themeColor="text1"/>
          <w:sz w:val="24"/>
          <w:szCs w:val="24"/>
        </w:rPr>
        <w:t>(17)</w:t>
      </w:r>
      <w:r w:rsidRPr="009007A3">
        <w:rPr>
          <w:rFonts w:asciiTheme="majorBidi" w:eastAsia="Times New Roman" w:hAnsiTheme="majorBidi" w:cstheme="majorBidi"/>
          <w:color w:val="1C1E29"/>
          <w:sz w:val="24"/>
          <w:szCs w:val="24"/>
        </w:rPr>
        <w:t xml:space="preserve">. For example, King et al. (2005) showed that 6 days of SC. morphine administration via pellets created thermal hyperalgesia. In this regard, Hong et al. in 2010 and Powell et al. in 2000 showed a reduction in the analgesic effect of morphine and development of tolerance after 7 days of intrathecal continuous administration in animals </w:t>
      </w:r>
      <w:r w:rsidRPr="009007A3">
        <w:rPr>
          <w:rFonts w:asciiTheme="majorBidi" w:hAnsiTheme="majorBidi" w:cstheme="majorBidi"/>
          <w:noProof/>
          <w:color w:val="000000" w:themeColor="text1"/>
          <w:sz w:val="24"/>
          <w:szCs w:val="24"/>
        </w:rPr>
        <w:t>(18, 19)</w:t>
      </w:r>
      <w:r w:rsidRPr="009007A3">
        <w:rPr>
          <w:rFonts w:asciiTheme="majorBidi" w:hAnsiTheme="majorBidi" w:cstheme="majorBidi"/>
          <w:color w:val="000000" w:themeColor="text1"/>
          <w:sz w:val="24"/>
          <w:szCs w:val="24"/>
        </w:rPr>
        <w:t xml:space="preserve">. </w:t>
      </w:r>
      <w:r w:rsidRPr="009007A3">
        <w:rPr>
          <w:rFonts w:asciiTheme="majorBidi" w:eastAsia="Times New Roman" w:hAnsiTheme="majorBidi" w:cstheme="majorBidi"/>
          <w:color w:val="1C1E29"/>
          <w:sz w:val="24"/>
          <w:szCs w:val="24"/>
        </w:rPr>
        <w:t xml:space="preserve">In contrast, Gu et al. (2005) showed that 6 days of i.t. chronic morphine infusion (40 nmol/µL/h) would not develop hyperalgesia </w:t>
      </w:r>
      <w:r w:rsidRPr="009007A3">
        <w:rPr>
          <w:rFonts w:asciiTheme="majorBidi" w:hAnsiTheme="majorBidi" w:cstheme="majorBidi"/>
          <w:noProof/>
          <w:color w:val="000000" w:themeColor="text1"/>
          <w:sz w:val="24"/>
          <w:szCs w:val="24"/>
        </w:rPr>
        <w:t>(20)</w:t>
      </w:r>
      <w:r w:rsidRPr="009007A3">
        <w:rPr>
          <w:rFonts w:asciiTheme="majorBidi" w:eastAsia="Times New Roman" w:hAnsiTheme="majorBidi" w:cstheme="majorBidi"/>
          <w:color w:val="1C1E29"/>
          <w:sz w:val="24"/>
          <w:szCs w:val="24"/>
        </w:rPr>
        <w:t>.</w:t>
      </w:r>
      <w:r w:rsidRPr="009007A3">
        <w:rPr>
          <w:rFonts w:asciiTheme="majorBidi" w:eastAsia="Times New Roman" w:hAnsiTheme="majorBidi" w:cstheme="majorBidi"/>
          <w:b/>
          <w:bCs/>
          <w:color w:val="1C1E29"/>
          <w:sz w:val="24"/>
          <w:szCs w:val="24"/>
        </w:rPr>
        <w:t> </w:t>
      </w:r>
      <w:r w:rsidRPr="009007A3">
        <w:rPr>
          <w:rFonts w:asciiTheme="majorBidi" w:eastAsia="Times New Roman" w:hAnsiTheme="majorBidi" w:cstheme="majorBidi"/>
          <w:color w:val="1C1E29"/>
          <w:sz w:val="24"/>
          <w:szCs w:val="24"/>
        </w:rPr>
        <w:t>In 2015</w:t>
      </w:r>
      <w:r w:rsidRPr="009007A3">
        <w:rPr>
          <w:rFonts w:asciiTheme="majorBidi" w:eastAsia="Times New Roman" w:hAnsiTheme="majorBidi" w:cstheme="majorBidi"/>
          <w:b/>
          <w:bCs/>
          <w:color w:val="1C1E29"/>
          <w:sz w:val="24"/>
          <w:szCs w:val="24"/>
        </w:rPr>
        <w:t xml:space="preserve"> </w:t>
      </w:r>
      <w:proofErr w:type="spellStart"/>
      <w:r w:rsidRPr="009007A3">
        <w:rPr>
          <w:rFonts w:asciiTheme="majorBidi" w:eastAsia="Times New Roman" w:hAnsiTheme="majorBidi" w:cstheme="majorBidi"/>
          <w:color w:val="1C1E29"/>
          <w:sz w:val="24"/>
          <w:szCs w:val="24"/>
        </w:rPr>
        <w:t>Zuo</w:t>
      </w:r>
      <w:proofErr w:type="spellEnd"/>
      <w:r w:rsidRPr="009007A3">
        <w:rPr>
          <w:rFonts w:asciiTheme="majorBidi" w:eastAsia="Times New Roman" w:hAnsiTheme="majorBidi" w:cstheme="majorBidi"/>
          <w:color w:val="1C1E29"/>
          <w:sz w:val="24"/>
          <w:szCs w:val="24"/>
        </w:rPr>
        <w:t xml:space="preserve"> et al. observed mechanical and thermal hyperalgesia symptoms in animals after daily intraperitoneal injection of 10 mg/kg morphine </w:t>
      </w:r>
      <w:r w:rsidRPr="009007A3">
        <w:rPr>
          <w:rFonts w:asciiTheme="majorBidi" w:hAnsiTheme="majorBidi" w:cstheme="majorBidi"/>
          <w:noProof/>
          <w:color w:val="000000" w:themeColor="text1"/>
          <w:sz w:val="24"/>
          <w:szCs w:val="24"/>
        </w:rPr>
        <w:t>(21)</w:t>
      </w:r>
      <w:r w:rsidRPr="009007A3">
        <w:rPr>
          <w:rFonts w:asciiTheme="majorBidi" w:eastAsia="Times New Roman" w:hAnsiTheme="majorBidi" w:cstheme="majorBidi"/>
          <w:color w:val="1C1E29"/>
          <w:sz w:val="24"/>
          <w:szCs w:val="24"/>
        </w:rPr>
        <w:t xml:space="preserve">. Different studies have indicated that the co-administration of opioid antagonists can greatly prevent the side effects of long-term opioids administration. New studies have shown that opioid receptor antagonists, such as naloxone and naltrexone, have anti-inflammatory effects at ultra-low doses and can reduce or reverse the adverse effects of repeated opioid use </w:t>
      </w:r>
      <w:r w:rsidRPr="009007A3">
        <w:rPr>
          <w:rFonts w:asciiTheme="majorBidi" w:hAnsiTheme="majorBidi" w:cstheme="majorBidi"/>
          <w:noProof/>
          <w:color w:val="000000" w:themeColor="text1"/>
          <w:sz w:val="24"/>
          <w:szCs w:val="24"/>
        </w:rPr>
        <w:t>(22)</w:t>
      </w:r>
      <w:r w:rsidRPr="009007A3">
        <w:rPr>
          <w:rFonts w:asciiTheme="majorBidi" w:eastAsia="Times New Roman" w:hAnsiTheme="majorBidi" w:cstheme="majorBidi"/>
          <w:color w:val="1C1E29"/>
          <w:sz w:val="24"/>
          <w:szCs w:val="24"/>
        </w:rPr>
        <w:t xml:space="preserve">. In 1995 Crain showed that co-administration of a very low dose of naloxone along with morphine reduces tolerance and withdrawal syndrome </w:t>
      </w:r>
      <w:r w:rsidRPr="009007A3">
        <w:rPr>
          <w:rFonts w:asciiTheme="majorBidi" w:hAnsiTheme="majorBidi" w:cstheme="majorBidi"/>
          <w:noProof/>
          <w:color w:val="000000" w:themeColor="text1"/>
          <w:sz w:val="24"/>
          <w:szCs w:val="24"/>
        </w:rPr>
        <w:t>(23)</w:t>
      </w:r>
      <w:r w:rsidRPr="009007A3">
        <w:rPr>
          <w:rFonts w:asciiTheme="majorBidi" w:eastAsia="Times New Roman" w:hAnsiTheme="majorBidi" w:cstheme="majorBidi"/>
          <w:color w:val="1C1E29"/>
          <w:sz w:val="24"/>
          <w:szCs w:val="24"/>
        </w:rPr>
        <w:t xml:space="preserve">. In contrast, Wang et al. (2005) reported that the analgesic effects of co-administration of morphine and naloxone was reduced after 7 days. Similar to our results, they showed that naloxone alone was ineffective. Many pre-clinical studies have shown that an ultra-low dose of naloxone or naltrexone enhances the analgesic effects of opioids </w:t>
      </w:r>
      <w:r w:rsidRPr="009007A3">
        <w:rPr>
          <w:rFonts w:asciiTheme="majorBidi" w:hAnsiTheme="majorBidi" w:cstheme="majorBidi"/>
          <w:noProof/>
          <w:color w:val="000000" w:themeColor="text1"/>
          <w:sz w:val="24"/>
          <w:szCs w:val="24"/>
        </w:rPr>
        <w:t>(11, 14)</w:t>
      </w:r>
      <w:r w:rsidRPr="009007A3">
        <w:rPr>
          <w:rFonts w:asciiTheme="majorBidi" w:eastAsia="Times New Roman" w:hAnsiTheme="majorBidi" w:cstheme="majorBidi"/>
          <w:color w:val="1C1E29"/>
          <w:sz w:val="24"/>
          <w:szCs w:val="24"/>
        </w:rPr>
        <w:t>. In this study, we use an ultra-low dose of naloxone along with morphine and observed improving morphine antinociceptive effect.</w:t>
      </w:r>
    </w:p>
    <w:p w14:paraId="1D8B9446"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color w:val="1C1E29"/>
          <w:sz w:val="24"/>
          <w:szCs w:val="24"/>
        </w:rPr>
        <w:t xml:space="preserve">Different mechanisms occur in neurons and glia that play an important role in this phenomenon. The molecular mechanisms underlying opioid tolerance and hyperalgesia is thought to overlap considerably with those involved in chronic pain </w:t>
      </w:r>
      <w:proofErr w:type="spellStart"/>
      <w:r w:rsidRPr="009007A3">
        <w:rPr>
          <w:rFonts w:asciiTheme="majorBidi" w:eastAsia="Times New Roman" w:hAnsiTheme="majorBidi" w:cstheme="majorBidi"/>
          <w:color w:val="1C1E29"/>
          <w:sz w:val="24"/>
          <w:szCs w:val="24"/>
        </w:rPr>
        <w:t>signaling</w:t>
      </w:r>
      <w:proofErr w:type="spellEnd"/>
      <w:r w:rsidRPr="009007A3">
        <w:rPr>
          <w:rFonts w:asciiTheme="majorBidi" w:eastAsia="Times New Roman" w:hAnsiTheme="majorBidi" w:cstheme="majorBidi"/>
          <w:color w:val="1C1E29"/>
          <w:sz w:val="24"/>
          <w:szCs w:val="24"/>
        </w:rPr>
        <w:t xml:space="preserve"> </w:t>
      </w:r>
      <w:r w:rsidRPr="009007A3">
        <w:rPr>
          <w:rFonts w:asciiTheme="majorBidi" w:hAnsiTheme="majorBidi" w:cstheme="majorBidi"/>
          <w:noProof/>
          <w:sz w:val="24"/>
          <w:szCs w:val="24"/>
        </w:rPr>
        <w:t>(24)</w:t>
      </w:r>
      <w:r w:rsidRPr="009007A3">
        <w:rPr>
          <w:rFonts w:asciiTheme="majorBidi" w:eastAsia="Times New Roman" w:hAnsiTheme="majorBidi" w:cstheme="majorBidi"/>
          <w:color w:val="1C1E29"/>
          <w:sz w:val="24"/>
          <w:szCs w:val="24"/>
        </w:rPr>
        <w:t xml:space="preserve">. Wang in 2005 reported that treatment with the same ultra-low dose of naloxone alone had no analgesic effect. Another finding of this study is that since the analgesic effects of opioids on receptors are inhibitory and chronic opioid administration switches G protein coupling from Gi/o to Gs, concomitant administration of an ultra-low dose of naloxone decrease Gs coupling and enhances Gi/o binding </w:t>
      </w:r>
      <w:r w:rsidRPr="009007A3">
        <w:rPr>
          <w:rFonts w:asciiTheme="majorBidi" w:hAnsiTheme="majorBidi" w:cstheme="majorBidi"/>
          <w:noProof/>
          <w:sz w:val="24"/>
          <w:szCs w:val="24"/>
        </w:rPr>
        <w:t>(14, 25)</w:t>
      </w:r>
      <w:r w:rsidRPr="009007A3">
        <w:rPr>
          <w:rFonts w:asciiTheme="majorBidi" w:eastAsia="Times New Roman" w:hAnsiTheme="majorBidi" w:cstheme="majorBidi"/>
          <w:color w:val="1C1E29"/>
          <w:sz w:val="24"/>
          <w:szCs w:val="24"/>
        </w:rPr>
        <w:t xml:space="preserve">. The antinociceptive effects of ultra-low doses of naloxone (ng or pg.) or naltrexone are mediated by various mechanisms such as inhibition of opioid </w:t>
      </w:r>
      <w:r w:rsidRPr="009007A3">
        <w:rPr>
          <w:rFonts w:asciiTheme="majorBidi" w:eastAsia="Times New Roman" w:hAnsiTheme="majorBidi" w:cstheme="majorBidi"/>
          <w:color w:val="1C1E29"/>
          <w:sz w:val="24"/>
          <w:szCs w:val="24"/>
        </w:rPr>
        <w:lastRenderedPageBreak/>
        <w:t xml:space="preserve">receptor </w:t>
      </w:r>
      <w:proofErr w:type="spellStart"/>
      <w:r w:rsidRPr="009007A3">
        <w:rPr>
          <w:rFonts w:asciiTheme="majorBidi" w:eastAsia="Times New Roman" w:hAnsiTheme="majorBidi" w:cstheme="majorBidi"/>
          <w:color w:val="1C1E29"/>
          <w:sz w:val="24"/>
          <w:szCs w:val="24"/>
        </w:rPr>
        <w:t>signaling</w:t>
      </w:r>
      <w:proofErr w:type="spellEnd"/>
      <w:r w:rsidRPr="009007A3">
        <w:rPr>
          <w:rFonts w:asciiTheme="majorBidi" w:eastAsia="Times New Roman" w:hAnsiTheme="majorBidi" w:cstheme="majorBidi"/>
          <w:color w:val="1C1E29"/>
          <w:sz w:val="24"/>
          <w:szCs w:val="24"/>
        </w:rPr>
        <w:t xml:space="preserve"> pathways in DRG neurons, the release of enkephalins, and neuro-inflammatory events triggered by microglia. Also, this dose of naloxone specifically antagonizes the coupling of opioid receptors to Gs proteins, adenylyl cyclase/Gβγ </w:t>
      </w:r>
      <w:proofErr w:type="spellStart"/>
      <w:r w:rsidRPr="009007A3">
        <w:rPr>
          <w:rFonts w:asciiTheme="majorBidi" w:eastAsia="Times New Roman" w:hAnsiTheme="majorBidi" w:cstheme="majorBidi"/>
          <w:color w:val="1C1E29"/>
          <w:sz w:val="24"/>
          <w:szCs w:val="24"/>
        </w:rPr>
        <w:t>signaling</w:t>
      </w:r>
      <w:proofErr w:type="spellEnd"/>
      <w:r w:rsidRPr="009007A3">
        <w:rPr>
          <w:rFonts w:asciiTheme="majorBidi" w:eastAsia="Times New Roman" w:hAnsiTheme="majorBidi" w:cstheme="majorBidi"/>
          <w:color w:val="1C1E29"/>
          <w:sz w:val="24"/>
          <w:szCs w:val="24"/>
        </w:rPr>
        <w:t xml:space="preserve">, and the pathway of excitatory signals in the spinal cord, and in turn, increases the tendency to pair with Gi/o thereby maintaining and enhancing morphine analgesia </w:t>
      </w:r>
      <w:r w:rsidRPr="009007A3">
        <w:rPr>
          <w:rFonts w:asciiTheme="majorBidi" w:hAnsiTheme="majorBidi" w:cstheme="majorBidi"/>
          <w:noProof/>
          <w:sz w:val="24"/>
          <w:szCs w:val="24"/>
        </w:rPr>
        <w:t>(13, 23, 25, 26)</w:t>
      </w:r>
      <w:r w:rsidRPr="009007A3">
        <w:rPr>
          <w:rFonts w:asciiTheme="majorBidi" w:eastAsia="Times New Roman" w:hAnsiTheme="majorBidi" w:cstheme="majorBidi"/>
          <w:color w:val="1C1E29"/>
          <w:sz w:val="24"/>
          <w:szCs w:val="24"/>
        </w:rPr>
        <w:t xml:space="preserve">. In subsequent studies in 2008 and 2009, Wang et al. stated that naloxone may bind to A filaments and prevent G protein switching from inhibitory to excitatory transcriptional pathways </w:t>
      </w:r>
      <w:r w:rsidRPr="009007A3">
        <w:rPr>
          <w:rFonts w:asciiTheme="majorBidi" w:hAnsiTheme="majorBidi" w:cstheme="majorBidi"/>
          <w:noProof/>
          <w:sz w:val="24"/>
          <w:szCs w:val="24"/>
        </w:rPr>
        <w:t>(27-29)</w:t>
      </w:r>
      <w:r w:rsidRPr="009007A3">
        <w:rPr>
          <w:rFonts w:asciiTheme="majorBidi" w:eastAsia="Times New Roman" w:hAnsiTheme="majorBidi" w:cstheme="majorBidi"/>
          <w:color w:val="1C1E29"/>
          <w:sz w:val="24"/>
          <w:szCs w:val="24"/>
        </w:rPr>
        <w:t>. </w:t>
      </w:r>
    </w:p>
    <w:p w14:paraId="0EC3FC54"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color w:val="1C1E29"/>
          <w:sz w:val="24"/>
          <w:szCs w:val="24"/>
        </w:rPr>
        <w:t>The results of molecular studies in hyperalgesia and tolerant animals showed that administration of morphine for 8 consecutive days resulted in increased expression of BDNF in spinal dorsal horn neurons. We also observed that daily injection of 15 ng of naloxone plus morphine prevented the increase in BDNF expression, and injection of naloxone at a very low dose without morphine did not affect BDNF expression. Studies have shown that continuous injection of morphine can increase spinal BDNF release, which is itself involved in the development of hyperalgesia. This is also due to the effect that BDNF exerts on neurons by binding to tyrosine kinase receptors (</w:t>
      </w:r>
      <w:proofErr w:type="spellStart"/>
      <w:r w:rsidRPr="009007A3">
        <w:rPr>
          <w:rFonts w:asciiTheme="majorBidi" w:eastAsia="Times New Roman" w:hAnsiTheme="majorBidi" w:cstheme="majorBidi"/>
          <w:color w:val="1C1E29"/>
          <w:sz w:val="24"/>
          <w:szCs w:val="24"/>
        </w:rPr>
        <w:t>TrkB</w:t>
      </w:r>
      <w:proofErr w:type="spellEnd"/>
      <w:r w:rsidRPr="009007A3">
        <w:rPr>
          <w:rFonts w:asciiTheme="majorBidi" w:eastAsia="Times New Roman" w:hAnsiTheme="majorBidi" w:cstheme="majorBidi"/>
          <w:color w:val="1C1E29"/>
          <w:sz w:val="24"/>
          <w:szCs w:val="24"/>
        </w:rPr>
        <w:t xml:space="preserve">) so that by inhibiting KCC2 cotransporter activity, it increases the accumulation of chlorine and potassium ions in the cell as well as sensitivity and excitability </w:t>
      </w:r>
      <w:r w:rsidRPr="009007A3">
        <w:rPr>
          <w:rFonts w:asciiTheme="majorBidi" w:hAnsiTheme="majorBidi" w:cstheme="majorBidi"/>
          <w:noProof/>
          <w:sz w:val="24"/>
          <w:szCs w:val="24"/>
        </w:rPr>
        <w:t>(2, 3)</w:t>
      </w:r>
      <w:r w:rsidRPr="009007A3">
        <w:rPr>
          <w:rFonts w:asciiTheme="majorBidi" w:eastAsia="Times New Roman" w:hAnsiTheme="majorBidi" w:cstheme="majorBidi"/>
          <w:color w:val="1C1E29"/>
          <w:sz w:val="24"/>
          <w:szCs w:val="24"/>
        </w:rPr>
        <w:t xml:space="preserve">. BDNF-induced hyperexcitability has been proposed to be partly due to the effects on GABAergic inhibition, </w:t>
      </w:r>
      <w:proofErr w:type="spellStart"/>
      <w:r w:rsidRPr="009007A3">
        <w:rPr>
          <w:rFonts w:asciiTheme="majorBidi" w:eastAsia="Times New Roman" w:hAnsiTheme="majorBidi" w:cstheme="majorBidi"/>
          <w:color w:val="1C1E29"/>
          <w:sz w:val="24"/>
          <w:szCs w:val="24"/>
        </w:rPr>
        <w:t>Coull</w:t>
      </w:r>
      <w:proofErr w:type="spellEnd"/>
      <w:r w:rsidRPr="009007A3">
        <w:rPr>
          <w:rFonts w:asciiTheme="majorBidi" w:eastAsia="Times New Roman" w:hAnsiTheme="majorBidi" w:cstheme="majorBidi"/>
          <w:color w:val="1C1E29"/>
          <w:sz w:val="24"/>
          <w:szCs w:val="24"/>
        </w:rPr>
        <w:t xml:space="preserve"> et al. (2005) showed that BDNF has decreased the paw withdrawal threshold and manifested hyperalgesia. In their in vivo study, they added BDNF to the dorsal horn neurons of the spinal cord and observed less negative potential than the control neurons, which could be indicating a shift from inhibitory to excitatory GABA responses </w:t>
      </w:r>
      <w:r w:rsidRPr="009007A3">
        <w:rPr>
          <w:rFonts w:asciiTheme="majorBidi" w:hAnsiTheme="majorBidi" w:cstheme="majorBidi"/>
          <w:noProof/>
          <w:color w:val="000000" w:themeColor="text1"/>
          <w:sz w:val="24"/>
          <w:szCs w:val="24"/>
        </w:rPr>
        <w:t>(4)</w:t>
      </w:r>
      <w:r w:rsidRPr="009007A3">
        <w:rPr>
          <w:rFonts w:asciiTheme="majorBidi" w:eastAsia="Times New Roman" w:hAnsiTheme="majorBidi" w:cstheme="majorBidi"/>
          <w:color w:val="1C1E29"/>
          <w:sz w:val="24"/>
          <w:szCs w:val="24"/>
        </w:rPr>
        <w:t>. In our belief, BDNF may have different roles during morphine administration rather than singular. Therefore, it is necessary to clearly understand the function of BDNF in morphine tolerance and OIH.</w:t>
      </w:r>
    </w:p>
    <w:p w14:paraId="0FB3CD27"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color w:val="1C1E29"/>
          <w:sz w:val="24"/>
          <w:szCs w:val="24"/>
        </w:rPr>
        <w:t>In the second part of this study, we used immunohistochemistry to investigate the distribution of kCC2 cotransporter expression in the transverse section of the spinal cord.</w:t>
      </w:r>
    </w:p>
    <w:p w14:paraId="7FD21234"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color w:val="1C1E29"/>
          <w:sz w:val="24"/>
          <w:szCs w:val="24"/>
        </w:rPr>
        <w:t xml:space="preserve">In the morphine group, the expression of kCC2 cotransporter showed a significant decrement. We also observed increased kCC2 cotransporter activity in the dorsal horn neurons compared to the morphine group in rats that received morphine plus an ultra-low dose of naloxone. There was no significant change in kCC2 expression in the ultra-low dose of naloxone saline group. As Kakazu stated in 2000 </w:t>
      </w:r>
      <w:r w:rsidRPr="009007A3">
        <w:rPr>
          <w:rFonts w:asciiTheme="majorBidi" w:eastAsia="Times New Roman" w:hAnsiTheme="majorBidi" w:cstheme="majorBidi"/>
          <w:color w:val="1C1E29"/>
          <w:sz w:val="24"/>
          <w:szCs w:val="24"/>
        </w:rPr>
        <w:lastRenderedPageBreak/>
        <w:t xml:space="preserve">and </w:t>
      </w:r>
      <w:proofErr w:type="spellStart"/>
      <w:r w:rsidRPr="009007A3">
        <w:rPr>
          <w:rFonts w:asciiTheme="majorBidi" w:eastAsia="Times New Roman" w:hAnsiTheme="majorBidi" w:cstheme="majorBidi"/>
          <w:color w:val="1C1E29"/>
          <w:sz w:val="24"/>
          <w:szCs w:val="24"/>
        </w:rPr>
        <w:t>Hubner</w:t>
      </w:r>
      <w:proofErr w:type="spellEnd"/>
      <w:r w:rsidRPr="009007A3">
        <w:rPr>
          <w:rFonts w:asciiTheme="majorBidi" w:eastAsia="Times New Roman" w:hAnsiTheme="majorBidi" w:cstheme="majorBidi"/>
          <w:color w:val="1C1E29"/>
          <w:sz w:val="24"/>
          <w:szCs w:val="24"/>
        </w:rPr>
        <w:t xml:space="preserve"> in 2001, the maintenance of hyperpolarizing inotropic responses is dependent on kCC2 </w:t>
      </w:r>
      <w:r w:rsidRPr="009007A3">
        <w:rPr>
          <w:rFonts w:asciiTheme="majorBidi" w:hAnsiTheme="majorBidi" w:cstheme="majorBidi"/>
          <w:noProof/>
          <w:sz w:val="24"/>
          <w:szCs w:val="24"/>
        </w:rPr>
        <w:t>(30, 31)</w:t>
      </w:r>
      <w:r w:rsidRPr="009007A3">
        <w:rPr>
          <w:rFonts w:asciiTheme="majorBidi" w:eastAsia="Times New Roman" w:hAnsiTheme="majorBidi" w:cstheme="majorBidi"/>
          <w:color w:val="1C1E29"/>
          <w:sz w:val="24"/>
          <w:szCs w:val="24"/>
        </w:rPr>
        <w:t xml:space="preserve">. Rivera (1999) confirmed that kCC2 is the major extruder ion that triggers hyperpolarization postsynaptic inhibition in the CNS </w:t>
      </w:r>
      <w:r w:rsidRPr="009007A3">
        <w:rPr>
          <w:rFonts w:asciiTheme="majorBidi" w:hAnsiTheme="majorBidi" w:cstheme="majorBidi"/>
          <w:noProof/>
          <w:sz w:val="24"/>
          <w:szCs w:val="24"/>
        </w:rPr>
        <w:t>(6)</w:t>
      </w:r>
      <w:r w:rsidRPr="009007A3">
        <w:rPr>
          <w:rFonts w:asciiTheme="majorBidi" w:eastAsia="Times New Roman" w:hAnsiTheme="majorBidi" w:cstheme="majorBidi"/>
          <w:color w:val="1C1E29"/>
          <w:sz w:val="24"/>
          <w:szCs w:val="24"/>
        </w:rPr>
        <w:t xml:space="preserve">. Therefore, any dysfunction of this cotransporter results in the accumulation of chloride ions inside the cell, due to the increase of chloride ions inside the cell, causes GABAergic receptors to shift from inhibitory to excitatory. All of these conditions can lead to hyperalgesia </w:t>
      </w:r>
      <w:proofErr w:type="spellStart"/>
      <w:r w:rsidRPr="009007A3">
        <w:rPr>
          <w:rFonts w:asciiTheme="majorBidi" w:eastAsia="Times New Roman" w:hAnsiTheme="majorBidi" w:cstheme="majorBidi"/>
          <w:color w:val="1C1E29"/>
          <w:sz w:val="24"/>
          <w:szCs w:val="24"/>
        </w:rPr>
        <w:t>behavior</w:t>
      </w:r>
      <w:proofErr w:type="spellEnd"/>
      <w:r w:rsidRPr="009007A3">
        <w:rPr>
          <w:rFonts w:asciiTheme="majorBidi" w:eastAsia="Times New Roman" w:hAnsiTheme="majorBidi" w:cstheme="majorBidi"/>
          <w:color w:val="1C1E29"/>
          <w:sz w:val="24"/>
          <w:szCs w:val="24"/>
        </w:rPr>
        <w:t xml:space="preserve"> in animals. </w:t>
      </w:r>
    </w:p>
    <w:p w14:paraId="39114835"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color w:val="1C1E29"/>
          <w:sz w:val="24"/>
          <w:szCs w:val="24"/>
        </w:rPr>
        <w:t xml:space="preserve">Rivera et al. (2002) showed that following the addition of BDNF to the culture medium, the expression intensity of KCC2 decreased, which subsequently affected neuronal chloride flow. They presented evidence that BDNF regulates KCC2 downregulation and disruption of chlorine flow by acting on the </w:t>
      </w:r>
      <w:proofErr w:type="spellStart"/>
      <w:r w:rsidRPr="009007A3">
        <w:rPr>
          <w:rFonts w:asciiTheme="majorBidi" w:eastAsia="Times New Roman" w:hAnsiTheme="majorBidi" w:cstheme="majorBidi"/>
          <w:color w:val="1C1E29"/>
          <w:sz w:val="24"/>
          <w:szCs w:val="24"/>
        </w:rPr>
        <w:t>TrkB</w:t>
      </w:r>
      <w:proofErr w:type="spellEnd"/>
      <w:r w:rsidRPr="009007A3">
        <w:rPr>
          <w:rFonts w:asciiTheme="majorBidi" w:eastAsia="Times New Roman" w:hAnsiTheme="majorBidi" w:cstheme="majorBidi"/>
          <w:color w:val="1C1E29"/>
          <w:sz w:val="24"/>
          <w:szCs w:val="24"/>
        </w:rPr>
        <w:t xml:space="preserve"> receptor </w:t>
      </w:r>
      <w:r w:rsidRPr="009007A3">
        <w:rPr>
          <w:rFonts w:asciiTheme="majorBidi" w:hAnsiTheme="majorBidi" w:cstheme="majorBidi"/>
          <w:noProof/>
          <w:sz w:val="24"/>
          <w:szCs w:val="24"/>
        </w:rPr>
        <w:t>(7)</w:t>
      </w:r>
      <w:r w:rsidRPr="009007A3">
        <w:rPr>
          <w:rFonts w:asciiTheme="majorBidi" w:eastAsia="Times New Roman" w:hAnsiTheme="majorBidi" w:cstheme="majorBidi"/>
          <w:color w:val="1C1E29"/>
          <w:sz w:val="24"/>
          <w:szCs w:val="24"/>
        </w:rPr>
        <w:t>. </w:t>
      </w:r>
    </w:p>
    <w:p w14:paraId="670BE1B5"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color w:val="1C1E29"/>
          <w:sz w:val="24"/>
          <w:szCs w:val="24"/>
        </w:rPr>
        <w:t xml:space="preserve">In a clinical trial on patients undergoing colorectal surgery in 2015, Xiao et al. showed that the combination of an ultra-low dose of naloxone (0.25 </w:t>
      </w:r>
      <w:proofErr w:type="spellStart"/>
      <w:r w:rsidRPr="009007A3">
        <w:rPr>
          <w:rFonts w:asciiTheme="majorBidi" w:eastAsia="Times New Roman" w:hAnsiTheme="majorBidi" w:cstheme="majorBidi"/>
          <w:color w:val="1C1E29"/>
          <w:sz w:val="24"/>
          <w:szCs w:val="24"/>
        </w:rPr>
        <w:t>μg</w:t>
      </w:r>
      <w:proofErr w:type="spellEnd"/>
      <w:r w:rsidRPr="009007A3">
        <w:rPr>
          <w:rFonts w:asciiTheme="majorBidi" w:eastAsia="Times New Roman" w:hAnsiTheme="majorBidi" w:cstheme="majorBidi"/>
          <w:color w:val="1C1E29"/>
          <w:sz w:val="24"/>
          <w:szCs w:val="24"/>
        </w:rPr>
        <w:t xml:space="preserve">/kg/h) with remifentanil decreased the adverse effects of acute morphine administration, tolerance, postoperative pain scores, bowel function recovery time, and length of hospital stay </w:t>
      </w:r>
      <w:r w:rsidRPr="009007A3">
        <w:rPr>
          <w:rFonts w:asciiTheme="majorBidi" w:hAnsiTheme="majorBidi" w:cstheme="majorBidi"/>
          <w:noProof/>
          <w:color w:val="000000" w:themeColor="text1"/>
          <w:sz w:val="24"/>
          <w:szCs w:val="24"/>
        </w:rPr>
        <w:t>(32)</w:t>
      </w:r>
      <w:r w:rsidRPr="009007A3">
        <w:rPr>
          <w:rFonts w:asciiTheme="majorBidi" w:eastAsia="Times New Roman" w:hAnsiTheme="majorBidi" w:cstheme="majorBidi"/>
          <w:color w:val="1C1E29"/>
          <w:sz w:val="24"/>
          <w:szCs w:val="24"/>
        </w:rPr>
        <w:t xml:space="preserve">. Another clinical trial in 2019 on thoracotomy patients receiving bupivacaine and naloxone (100 ng) compared to bupivacaine alone showed significantly longer postoperative pain relief </w:t>
      </w:r>
      <w:r w:rsidRPr="009007A3">
        <w:rPr>
          <w:rFonts w:asciiTheme="majorBidi" w:hAnsiTheme="majorBidi" w:cstheme="majorBidi"/>
          <w:noProof/>
          <w:sz w:val="24"/>
          <w:szCs w:val="24"/>
        </w:rPr>
        <w:t>(33)</w:t>
      </w:r>
      <w:r w:rsidRPr="009007A3">
        <w:rPr>
          <w:rFonts w:asciiTheme="majorBidi" w:eastAsia="Times New Roman" w:hAnsiTheme="majorBidi" w:cstheme="majorBidi"/>
          <w:color w:val="1C1E29"/>
          <w:sz w:val="24"/>
          <w:szCs w:val="24"/>
        </w:rPr>
        <w:t xml:space="preserve">. In contrast, a study by </w:t>
      </w:r>
      <w:proofErr w:type="spellStart"/>
      <w:r w:rsidRPr="009007A3">
        <w:rPr>
          <w:rFonts w:asciiTheme="majorBidi" w:eastAsia="Times New Roman" w:hAnsiTheme="majorBidi" w:cstheme="majorBidi"/>
          <w:color w:val="1C1E29"/>
          <w:sz w:val="24"/>
          <w:szCs w:val="24"/>
        </w:rPr>
        <w:t>Hosseininejad</w:t>
      </w:r>
      <w:proofErr w:type="spellEnd"/>
      <w:r w:rsidRPr="009007A3">
        <w:rPr>
          <w:rFonts w:asciiTheme="majorBidi" w:eastAsia="Times New Roman" w:hAnsiTheme="majorBidi" w:cstheme="majorBidi"/>
          <w:color w:val="1C1E29"/>
          <w:sz w:val="24"/>
          <w:szCs w:val="24"/>
        </w:rPr>
        <w:t xml:space="preserve"> et al. in 2019 on renal colic patients did not report a significant analgesic effect between the group receiving naloxone (0.001 mg/kg IV.) plus morphine (0.1 mg/kg) with the group receiving only morphine </w:t>
      </w:r>
      <w:r w:rsidRPr="009007A3">
        <w:rPr>
          <w:rFonts w:asciiTheme="majorBidi" w:hAnsiTheme="majorBidi" w:cstheme="majorBidi"/>
          <w:noProof/>
          <w:sz w:val="24"/>
          <w:szCs w:val="24"/>
        </w:rPr>
        <w:t>(34)</w:t>
      </w:r>
      <w:r w:rsidRPr="009007A3">
        <w:rPr>
          <w:rFonts w:asciiTheme="majorBidi" w:eastAsia="Times New Roman" w:hAnsiTheme="majorBidi" w:cstheme="majorBidi"/>
          <w:color w:val="1C1E29"/>
          <w:sz w:val="24"/>
          <w:szCs w:val="24"/>
        </w:rPr>
        <w:t>. We suggest that the simultaneous administration of an ultra-low dose of naloxone affects the expression and secretion of BDNF and KCC2 regulation and consequently reduces the tolerance and hyperalgesia induced by chronic morphine administration.</w:t>
      </w:r>
    </w:p>
    <w:p w14:paraId="4DDECF65"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color w:val="1C1E29"/>
          <w:sz w:val="24"/>
          <w:szCs w:val="24"/>
        </w:rPr>
        <w:t xml:space="preserve">Since opioid receptors mediate the inhibition of adenylyl cyclase, and an ultra-low dose of naloxone antagonize excitatory functions opioid receptors through G protein binding, this pathway is likely to be involved </w:t>
      </w:r>
      <w:r w:rsidRPr="009007A3">
        <w:rPr>
          <w:rFonts w:asciiTheme="majorBidi" w:hAnsiTheme="majorBidi" w:cstheme="majorBidi"/>
          <w:noProof/>
          <w:sz w:val="24"/>
          <w:szCs w:val="24"/>
        </w:rPr>
        <w:t>(35)</w:t>
      </w:r>
      <w:r w:rsidRPr="009007A3">
        <w:rPr>
          <w:rFonts w:asciiTheme="majorBidi" w:eastAsia="Times New Roman" w:hAnsiTheme="majorBidi" w:cstheme="majorBidi"/>
          <w:color w:val="1C1E29"/>
          <w:sz w:val="24"/>
          <w:szCs w:val="24"/>
        </w:rPr>
        <w:t xml:space="preserve">. Also, there is a direct relationship between BDNF increasing and KCC2 decreasing </w:t>
      </w:r>
      <w:r w:rsidRPr="009007A3">
        <w:rPr>
          <w:rFonts w:asciiTheme="majorBidi" w:hAnsiTheme="majorBidi" w:cstheme="majorBidi"/>
          <w:noProof/>
          <w:color w:val="000000" w:themeColor="text1"/>
          <w:sz w:val="24"/>
          <w:szCs w:val="24"/>
          <w:lang w:bidi="fa-IR"/>
        </w:rPr>
        <w:t>(7)</w:t>
      </w:r>
      <w:r w:rsidRPr="009007A3">
        <w:rPr>
          <w:rFonts w:asciiTheme="majorBidi" w:eastAsia="Times New Roman" w:hAnsiTheme="majorBidi" w:cstheme="majorBidi"/>
          <w:color w:val="1C1E29"/>
          <w:sz w:val="24"/>
          <w:szCs w:val="24"/>
        </w:rPr>
        <w:t xml:space="preserve">, since naloxone in ultra-low-dose has an anti-inflammatory effect </w:t>
      </w:r>
      <w:r w:rsidRPr="009007A3">
        <w:rPr>
          <w:rFonts w:asciiTheme="majorBidi" w:hAnsiTheme="majorBidi" w:cstheme="majorBidi"/>
          <w:noProof/>
          <w:color w:val="000000" w:themeColor="text1"/>
          <w:sz w:val="24"/>
          <w:szCs w:val="24"/>
          <w:lang w:bidi="fa-IR"/>
        </w:rPr>
        <w:t>(22, 36, 37)</w:t>
      </w:r>
      <w:r w:rsidRPr="009007A3">
        <w:rPr>
          <w:rFonts w:asciiTheme="majorBidi" w:eastAsia="Times New Roman" w:hAnsiTheme="majorBidi" w:cstheme="majorBidi"/>
          <w:color w:val="1C1E29"/>
          <w:sz w:val="24"/>
          <w:szCs w:val="24"/>
        </w:rPr>
        <w:t xml:space="preserve">. Therefore, it is hypothesized that this secondary drug can reduce BDNF secretion and subsequently prevent the downregulation of KCC2, thereby reducing the tolerance and hyperalgesia induced by long-term use of morphine. Equivalent inhibition of the Gs coupling of CREB phosphorylation by naloxone and its </w:t>
      </w:r>
      <w:r w:rsidRPr="009007A3">
        <w:rPr>
          <w:rFonts w:asciiTheme="majorBidi" w:eastAsia="Times New Roman" w:hAnsiTheme="majorBidi" w:cstheme="majorBidi"/>
          <w:color w:val="1C1E29"/>
          <w:sz w:val="24"/>
          <w:szCs w:val="24"/>
        </w:rPr>
        <w:lastRenderedPageBreak/>
        <w:t xml:space="preserve">binding to pentapeptide filament A seems to be the mechanism of action of a very low dose of naloxone or naltrexone </w:t>
      </w:r>
      <w:r w:rsidRPr="009007A3">
        <w:rPr>
          <w:rFonts w:asciiTheme="majorBidi" w:hAnsiTheme="majorBidi" w:cstheme="majorBidi"/>
          <w:noProof/>
          <w:color w:val="000000" w:themeColor="text1"/>
          <w:sz w:val="24"/>
          <w:szCs w:val="24"/>
          <w:lang w:bidi="fa-IR"/>
        </w:rPr>
        <w:t>(27-29)</w:t>
      </w:r>
      <w:r w:rsidRPr="009007A3">
        <w:rPr>
          <w:rFonts w:asciiTheme="majorBidi" w:eastAsia="Times New Roman" w:hAnsiTheme="majorBidi" w:cstheme="majorBidi"/>
          <w:color w:val="1C1E29"/>
          <w:sz w:val="24"/>
          <w:szCs w:val="24"/>
        </w:rPr>
        <w:t>. </w:t>
      </w:r>
    </w:p>
    <w:p w14:paraId="77C72C15"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color w:val="1C1E29"/>
          <w:sz w:val="24"/>
          <w:szCs w:val="24"/>
        </w:rPr>
        <w:t xml:space="preserve">According to the mentioned studies and our results, there seems to be a strong relationship between the activity of BDNF expression and downregulation of KCC2 cotransporter during chronic morphine administration and neuroinflammation. Since the use of naloxone at very low doses along with morphine has an anti-inflammatory effect and can decrease microglial activity </w:t>
      </w:r>
      <w:r w:rsidRPr="009007A3">
        <w:rPr>
          <w:rFonts w:asciiTheme="majorBidi" w:hAnsiTheme="majorBidi" w:cstheme="majorBidi"/>
          <w:noProof/>
          <w:sz w:val="24"/>
          <w:szCs w:val="24"/>
        </w:rPr>
        <w:t>(7, 36)</w:t>
      </w:r>
      <w:r w:rsidRPr="009007A3">
        <w:rPr>
          <w:rFonts w:asciiTheme="majorBidi" w:eastAsia="Times New Roman" w:hAnsiTheme="majorBidi" w:cstheme="majorBidi"/>
          <w:color w:val="1C1E29"/>
          <w:sz w:val="24"/>
          <w:szCs w:val="24"/>
        </w:rPr>
        <w:t>, we hypothesize that a ULD of naloxone may affect BDNF, decreasing secretion and subsequently prevent KCC2 downregulation, and thereby prevent the tolerance and hyperalgesia induced by long-term use of morphine. Considering that BDNF increased in morphine treated rats, and the ability of ultra-low dose of naloxone along with morphine to block the rise in BDNF expression, it is clear that decreased BDNF expression plays an important role in modulating KCC2 activity. Increased BDNF expression, in turn, leads to more alterations in nerve cell membranes that could eventually lead to the development of OIH and tolerance. Although it seems that ULD of naloxone affects BDNF, decreasing secretion and subsequently prevent KCC2 downregulation and could improve the analgesic effect of morphine, it should be noted the effects of ultra-low doses of naloxone are mediated by various mechanisms.</w:t>
      </w:r>
    </w:p>
    <w:p w14:paraId="2EF30C07"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b/>
          <w:bCs/>
          <w:color w:val="1C1E29"/>
          <w:sz w:val="24"/>
          <w:szCs w:val="24"/>
        </w:rPr>
        <w:t>4. Conclusion</w:t>
      </w:r>
    </w:p>
    <w:p w14:paraId="3D213FAF" w14:textId="77777777" w:rsidR="008439C3" w:rsidRPr="009007A3" w:rsidRDefault="008439C3" w:rsidP="008439C3">
      <w:pPr>
        <w:autoSpaceDE w:val="0"/>
        <w:autoSpaceDN w:val="0"/>
        <w:adjustRightInd w:val="0"/>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color w:val="1C1E29"/>
          <w:sz w:val="24"/>
          <w:szCs w:val="24"/>
        </w:rPr>
        <w:t>Combined with previous study our data suggests that BDNF and KCC2 maybe candidate molecules that are involved in tolerance and OIH. By increasing KCC2, the ultra-low dose of naloxone along with morphine might be a valuable therapeutic potential for controlling hypersensitivity following chronic morphine administration.</w:t>
      </w:r>
    </w:p>
    <w:p w14:paraId="3F94FFEE" w14:textId="77777777" w:rsidR="008439C3" w:rsidRPr="009007A3" w:rsidRDefault="008439C3" w:rsidP="008439C3">
      <w:pPr>
        <w:autoSpaceDE w:val="0"/>
        <w:autoSpaceDN w:val="0"/>
        <w:adjustRightInd w:val="0"/>
        <w:spacing w:after="0" w:line="480" w:lineRule="auto"/>
        <w:jc w:val="both"/>
        <w:rPr>
          <w:rFonts w:asciiTheme="majorBidi" w:eastAsia="Times New Roman" w:hAnsiTheme="majorBidi" w:cstheme="majorBidi"/>
          <w:color w:val="1C1E29"/>
          <w:sz w:val="24"/>
          <w:szCs w:val="24"/>
        </w:rPr>
      </w:pPr>
    </w:p>
    <w:p w14:paraId="522B21C1" w14:textId="77777777" w:rsidR="008439C3" w:rsidRPr="009007A3"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9007A3">
        <w:rPr>
          <w:rStyle w:val="Strong"/>
          <w:rFonts w:asciiTheme="majorBidi" w:hAnsiTheme="majorBidi" w:cstheme="majorBidi"/>
          <w:color w:val="1C1E29"/>
        </w:rPr>
        <w:t>5. Materials and methods</w:t>
      </w:r>
    </w:p>
    <w:p w14:paraId="5BBAD037" w14:textId="77777777" w:rsidR="008439C3" w:rsidRPr="009007A3"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9007A3">
        <w:rPr>
          <w:rStyle w:val="Strong"/>
          <w:rFonts w:asciiTheme="majorBidi" w:hAnsiTheme="majorBidi" w:cstheme="majorBidi"/>
          <w:color w:val="1C1E29"/>
        </w:rPr>
        <w:t>5.1. Animal and experimental design</w:t>
      </w:r>
    </w:p>
    <w:p w14:paraId="28D2A56C" w14:textId="77777777" w:rsidR="008439C3" w:rsidRPr="00236096" w:rsidRDefault="008439C3" w:rsidP="008439C3">
      <w:pPr>
        <w:pStyle w:val="NoSpacing"/>
        <w:spacing w:line="480" w:lineRule="auto"/>
        <w:rPr>
          <w:rFonts w:asciiTheme="majorBidi" w:hAnsiTheme="majorBidi" w:cstheme="majorBidi"/>
          <w:sz w:val="24"/>
          <w:szCs w:val="24"/>
        </w:rPr>
      </w:pPr>
      <w:r w:rsidRPr="00236096">
        <w:rPr>
          <w:rFonts w:asciiTheme="majorBidi" w:hAnsiTheme="majorBidi" w:cstheme="majorBidi"/>
          <w:sz w:val="24"/>
          <w:szCs w:val="24"/>
        </w:rPr>
        <w:t>All experimental protocols were followed by guidelines on the ethical standard for investigation of morphine tolerance and hyperalgesia in animals by the Animal Ethics Committee of Shahid Beheshti University of Medical Sciences, Tehran, Iran (IR.SBMU.MSP.REC.1397.272).</w:t>
      </w:r>
      <w:r w:rsidRPr="00236096">
        <w:rPr>
          <w:rFonts w:asciiTheme="majorBidi" w:hAnsiTheme="majorBidi" w:cstheme="majorBidi"/>
          <w:color w:val="C0504D" w:themeColor="accent2"/>
          <w:sz w:val="24"/>
          <w:szCs w:val="24"/>
        </w:rPr>
        <w:t xml:space="preserve"> </w:t>
      </w:r>
      <w:r w:rsidRPr="00236096">
        <w:rPr>
          <w:rFonts w:asciiTheme="majorBidi" w:hAnsiTheme="majorBidi" w:cstheme="majorBidi"/>
          <w:sz w:val="24"/>
          <w:szCs w:val="24"/>
        </w:rPr>
        <w:t xml:space="preserve">Experiments were done on forty-eight adult male Wistar rats (Pasture Institute – Tehran, Iran), weight 180–220g that </w:t>
      </w:r>
      <w:r w:rsidRPr="00236096">
        <w:rPr>
          <w:rFonts w:asciiTheme="majorBidi" w:hAnsiTheme="majorBidi" w:cstheme="majorBidi"/>
          <w:sz w:val="24"/>
          <w:szCs w:val="24"/>
        </w:rPr>
        <w:lastRenderedPageBreak/>
        <w:t xml:space="preserve">were housed three rats per cage and placed under a 12 h light/dark cycle in a room with controlled temperature (22 ± 1 °C) for ten days. Animals had ad libitum access to food and water. </w:t>
      </w:r>
    </w:p>
    <w:p w14:paraId="3420F91A" w14:textId="77777777" w:rsidR="008439C3" w:rsidRPr="00236096" w:rsidRDefault="008439C3" w:rsidP="008439C3">
      <w:pPr>
        <w:pStyle w:val="NormalWeb"/>
        <w:spacing w:before="0" w:beforeAutospacing="0" w:after="0" w:afterAutospacing="0" w:line="480" w:lineRule="auto"/>
        <w:jc w:val="both"/>
        <w:rPr>
          <w:rFonts w:asciiTheme="majorBidi" w:hAnsiTheme="majorBidi" w:cstheme="majorBidi"/>
        </w:rPr>
      </w:pPr>
      <w:r w:rsidRPr="00236096">
        <w:rPr>
          <w:rFonts w:asciiTheme="majorBidi" w:hAnsiTheme="majorBidi" w:cstheme="majorBidi"/>
        </w:rPr>
        <w:t>Animals were allowed to habituate to the housing circumstances for several days before the experiments began. Behavioral studies were performed in a quiet condition</w:t>
      </w:r>
      <w:r w:rsidRPr="00236096">
        <w:rPr>
          <w:rFonts w:asciiTheme="majorBidi" w:hAnsiTheme="majorBidi" w:cstheme="majorBidi"/>
          <w:color w:val="0070C0"/>
        </w:rPr>
        <w:t>.</w:t>
      </w:r>
      <w:r w:rsidRPr="00236096">
        <w:rPr>
          <w:rFonts w:asciiTheme="majorBidi" w:hAnsiTheme="majorBidi" w:cstheme="majorBidi"/>
        </w:rPr>
        <w:t xml:space="preserve"> Efforts were made to use the minimum number of animals necessary to achieve statistical significance.</w:t>
      </w:r>
    </w:p>
    <w:p w14:paraId="70011E41" w14:textId="77777777" w:rsidR="008439C3" w:rsidRPr="00236096" w:rsidRDefault="008439C3" w:rsidP="008439C3">
      <w:pPr>
        <w:pStyle w:val="NoSpacing"/>
        <w:spacing w:line="480" w:lineRule="auto"/>
        <w:rPr>
          <w:rFonts w:asciiTheme="majorBidi" w:hAnsiTheme="majorBidi" w:cstheme="majorBidi"/>
          <w:sz w:val="24"/>
          <w:szCs w:val="24"/>
        </w:rPr>
      </w:pPr>
      <w:r w:rsidRPr="00236096">
        <w:rPr>
          <w:rFonts w:asciiTheme="majorBidi" w:hAnsiTheme="majorBidi" w:cstheme="majorBidi"/>
          <w:sz w:val="24"/>
          <w:szCs w:val="24"/>
        </w:rPr>
        <w:t xml:space="preserve">Rats were randomly separated into 8 groups with 6 rats in each group and divided to tolerance and OIH groups: </w:t>
      </w:r>
      <w:proofErr w:type="spellStart"/>
      <w:r w:rsidRPr="00236096">
        <w:rPr>
          <w:rFonts w:asciiTheme="majorBidi" w:hAnsiTheme="majorBidi" w:cstheme="majorBidi"/>
          <w:sz w:val="24"/>
          <w:szCs w:val="24"/>
        </w:rPr>
        <w:t>i</w:t>
      </w:r>
      <w:proofErr w:type="spellEnd"/>
      <w:r w:rsidRPr="00236096">
        <w:rPr>
          <w:rFonts w:asciiTheme="majorBidi" w:hAnsiTheme="majorBidi" w:cstheme="majorBidi"/>
          <w:sz w:val="24"/>
          <w:szCs w:val="24"/>
        </w:rPr>
        <w:t xml:space="preserve">) sham, ii) morphine (10 mg), iii) treatment group: morphine10 mg and naloxone (NAL, 15 ng), and iv) naloxone (15 ng) and saline (SAL) Table 1. </w:t>
      </w:r>
    </w:p>
    <w:p w14:paraId="75F28C36" w14:textId="77777777" w:rsidR="008439C3" w:rsidRPr="00236096" w:rsidRDefault="008439C3" w:rsidP="008439C3">
      <w:pPr>
        <w:pStyle w:val="NoSpacing"/>
        <w:spacing w:line="480" w:lineRule="auto"/>
        <w:rPr>
          <w:rFonts w:asciiTheme="majorBidi" w:hAnsiTheme="majorBidi" w:cstheme="majorBidi"/>
          <w:sz w:val="24"/>
          <w:szCs w:val="24"/>
        </w:rPr>
      </w:pPr>
    </w:p>
    <w:p w14:paraId="74F9E355" w14:textId="77777777" w:rsidR="008439C3" w:rsidRPr="00236096" w:rsidRDefault="008439C3" w:rsidP="008439C3">
      <w:pPr>
        <w:pStyle w:val="NoSpacing"/>
        <w:spacing w:line="480" w:lineRule="auto"/>
        <w:rPr>
          <w:rFonts w:asciiTheme="majorBidi" w:hAnsiTheme="majorBidi" w:cstheme="majorBidi"/>
          <w:sz w:val="24"/>
          <w:szCs w:val="24"/>
        </w:rPr>
      </w:pPr>
      <w:r w:rsidRPr="00236096">
        <w:rPr>
          <w:rFonts w:asciiTheme="majorBidi" w:hAnsiTheme="majorBidi" w:cstheme="majorBidi"/>
          <w:color w:val="0070C0"/>
          <w:sz w:val="24"/>
          <w:szCs w:val="24"/>
        </w:rPr>
        <w:t xml:space="preserve"> </w:t>
      </w:r>
      <w:r w:rsidRPr="00236096">
        <w:rPr>
          <w:rFonts w:asciiTheme="majorBidi" w:hAnsiTheme="majorBidi" w:cstheme="majorBidi"/>
          <w:sz w:val="24"/>
          <w:szCs w:val="24"/>
        </w:rPr>
        <w:t xml:space="preserve">In the sham group, rats received saline, in the morphine group, rats received (IP)10 mg morphine </w:t>
      </w:r>
      <w:proofErr w:type="spellStart"/>
      <w:r w:rsidRPr="00236096">
        <w:rPr>
          <w:rFonts w:asciiTheme="majorBidi" w:hAnsiTheme="majorBidi" w:cstheme="majorBidi"/>
          <w:sz w:val="24"/>
          <w:szCs w:val="24"/>
        </w:rPr>
        <w:t>i.p</w:t>
      </w:r>
      <w:r>
        <w:rPr>
          <w:rFonts w:asciiTheme="majorBidi" w:hAnsiTheme="majorBidi" w:cstheme="majorBidi"/>
          <w:sz w:val="24"/>
          <w:szCs w:val="24"/>
        </w:rPr>
        <w:t>.</w:t>
      </w:r>
      <w:proofErr w:type="spellEnd"/>
      <w:r w:rsidRPr="00236096">
        <w:rPr>
          <w:rFonts w:asciiTheme="majorBidi" w:hAnsiTheme="majorBidi" w:cstheme="majorBidi"/>
          <w:sz w:val="24"/>
          <w:szCs w:val="24"/>
        </w:rPr>
        <w:t xml:space="preserve"> in the treatment group, rats received 15ng ULD of naloxone </w:t>
      </w:r>
      <w:proofErr w:type="spellStart"/>
      <w:r w:rsidRPr="00236096">
        <w:rPr>
          <w:rFonts w:asciiTheme="majorBidi" w:hAnsiTheme="majorBidi" w:cstheme="majorBidi"/>
          <w:sz w:val="24"/>
          <w:szCs w:val="24"/>
        </w:rPr>
        <w:t>i.p.</w:t>
      </w:r>
      <w:proofErr w:type="spellEnd"/>
      <w:r w:rsidRPr="00236096">
        <w:rPr>
          <w:rFonts w:asciiTheme="majorBidi" w:hAnsiTheme="majorBidi" w:cstheme="majorBidi"/>
          <w:sz w:val="24"/>
          <w:szCs w:val="24"/>
        </w:rPr>
        <w:t>, along with morphine, and in the saline group, rats received ULD of naloxone along with saline for 8 consecutive days. Behavioral tests were performed to evaluate tolerance on day 1 before and after the morphine injection, and days 5 and 8 by the tail-flick test (TL) (</w:t>
      </w:r>
      <w:proofErr w:type="spellStart"/>
      <w:r w:rsidRPr="00236096">
        <w:rPr>
          <w:rFonts w:asciiTheme="majorBidi" w:hAnsiTheme="majorBidi" w:cstheme="majorBidi"/>
          <w:sz w:val="24"/>
          <w:szCs w:val="24"/>
        </w:rPr>
        <w:t>Borje</w:t>
      </w:r>
      <w:proofErr w:type="spellEnd"/>
      <w:r w:rsidRPr="00236096">
        <w:rPr>
          <w:rFonts w:asciiTheme="majorBidi" w:hAnsiTheme="majorBidi" w:cstheme="majorBidi"/>
          <w:sz w:val="24"/>
          <w:szCs w:val="24"/>
        </w:rPr>
        <w:t xml:space="preserve"> </w:t>
      </w:r>
      <w:proofErr w:type="spellStart"/>
      <w:r w:rsidRPr="00236096">
        <w:rPr>
          <w:rFonts w:asciiTheme="majorBidi" w:hAnsiTheme="majorBidi" w:cstheme="majorBidi"/>
          <w:sz w:val="24"/>
          <w:szCs w:val="24"/>
        </w:rPr>
        <w:t>Sanat</w:t>
      </w:r>
      <w:proofErr w:type="spellEnd"/>
      <w:r w:rsidRPr="00236096">
        <w:rPr>
          <w:rFonts w:asciiTheme="majorBidi" w:hAnsiTheme="majorBidi" w:cstheme="majorBidi"/>
          <w:sz w:val="24"/>
          <w:szCs w:val="24"/>
        </w:rPr>
        <w:t xml:space="preserve"> Co. Iran); and on day 1 before morphine injection and day 10, 48h after last morphine injection to evaluate OIH by plantar test (</w:t>
      </w:r>
      <w:r w:rsidRPr="00236096">
        <w:rPr>
          <w:rFonts w:asciiTheme="majorBidi" w:hAnsiTheme="majorBidi" w:cstheme="majorBidi"/>
          <w:color w:val="1C1E29"/>
          <w:sz w:val="24"/>
          <w:szCs w:val="24"/>
        </w:rPr>
        <w:t>Ugo Basile, Italy)</w:t>
      </w:r>
      <w:r w:rsidRPr="00236096">
        <w:rPr>
          <w:rFonts w:asciiTheme="majorBidi" w:hAnsiTheme="majorBidi" w:cstheme="majorBidi"/>
          <w:sz w:val="24"/>
          <w:szCs w:val="24"/>
        </w:rPr>
        <w:t xml:space="preserve">. Three rats from all groups were euthanized under (2.0-2.5%) Isoflurane inhalation anesthesia on day 8 and the Lumbar segments of the spinal cord were collected (to study BDNF expression by the western blotting method). On day 10 three rats from all groups were deeply anesthetized by ketamine (10%) and xylazine (2%) </w:t>
      </w:r>
      <w:proofErr w:type="spellStart"/>
      <w:r w:rsidRPr="00236096">
        <w:rPr>
          <w:rFonts w:asciiTheme="majorBidi" w:hAnsiTheme="majorBidi" w:cstheme="majorBidi"/>
          <w:sz w:val="24"/>
          <w:szCs w:val="24"/>
        </w:rPr>
        <w:t>i.p.</w:t>
      </w:r>
      <w:proofErr w:type="spellEnd"/>
      <w:r w:rsidRPr="00236096">
        <w:rPr>
          <w:rFonts w:asciiTheme="majorBidi" w:hAnsiTheme="majorBidi" w:cstheme="majorBidi"/>
          <w:sz w:val="24"/>
          <w:szCs w:val="24"/>
        </w:rPr>
        <w:t xml:space="preserve"> and </w:t>
      </w:r>
      <w:proofErr w:type="spellStart"/>
      <w:r w:rsidRPr="00236096">
        <w:rPr>
          <w:rFonts w:asciiTheme="majorBidi" w:hAnsiTheme="majorBidi" w:cstheme="majorBidi"/>
          <w:sz w:val="24"/>
          <w:szCs w:val="24"/>
        </w:rPr>
        <w:t>transcardially</w:t>
      </w:r>
      <w:proofErr w:type="spellEnd"/>
      <w:r w:rsidRPr="00236096">
        <w:rPr>
          <w:rFonts w:asciiTheme="majorBidi" w:hAnsiTheme="majorBidi" w:cstheme="majorBidi"/>
          <w:sz w:val="24"/>
          <w:szCs w:val="24"/>
        </w:rPr>
        <w:t xml:space="preserve"> perfused with phosphate-buffered saline. Spinal cords were isolated and lumbar segments were removed (to study KCC2 expression by the immunohistochemistry method). All experiments were done from 8 am until 4 pm.  </w:t>
      </w:r>
    </w:p>
    <w:p w14:paraId="31932D7D" w14:textId="77777777" w:rsidR="008439C3" w:rsidRPr="009007A3" w:rsidRDefault="008439C3" w:rsidP="008439C3">
      <w:pPr>
        <w:pStyle w:val="NoSpacing"/>
        <w:spacing w:line="480" w:lineRule="auto"/>
        <w:rPr>
          <w:rFonts w:asciiTheme="majorBidi" w:hAnsiTheme="majorBidi" w:cstheme="majorBidi"/>
          <w:sz w:val="24"/>
          <w:szCs w:val="24"/>
        </w:rPr>
      </w:pPr>
    </w:p>
    <w:p w14:paraId="7644E6C1" w14:textId="77777777" w:rsidR="008439C3" w:rsidRPr="002F66E0" w:rsidRDefault="008439C3" w:rsidP="008439C3">
      <w:pPr>
        <w:autoSpaceDE w:val="0"/>
        <w:autoSpaceDN w:val="0"/>
        <w:adjustRightInd w:val="0"/>
        <w:spacing w:after="0" w:line="240" w:lineRule="auto"/>
        <w:rPr>
          <w:rFonts w:asciiTheme="majorBidi" w:hAnsiTheme="majorBidi" w:cstheme="majorBidi"/>
        </w:rPr>
      </w:pPr>
      <w:r>
        <w:rPr>
          <w:rFonts w:ascii="Times New Roman" w:hAnsi="Times New Roman" w:cs="Times New Roman"/>
          <w:b/>
          <w:bCs/>
          <w:sz w:val="21"/>
          <w:szCs w:val="21"/>
        </w:rPr>
        <w:t xml:space="preserve">             </w:t>
      </w:r>
      <w:r w:rsidRPr="002F66E0">
        <w:rPr>
          <w:rFonts w:asciiTheme="majorBidi" w:hAnsiTheme="majorBidi" w:cstheme="majorBidi"/>
          <w:b/>
          <w:bCs/>
        </w:rPr>
        <w:t xml:space="preserve">Table 1. Characteristics of experimental groups </w:t>
      </w:r>
    </w:p>
    <w:p w14:paraId="4C556BDB" w14:textId="77777777" w:rsidR="008439C3" w:rsidRPr="002F66E0" w:rsidRDefault="008439C3" w:rsidP="008439C3">
      <w:pPr>
        <w:autoSpaceDE w:val="0"/>
        <w:autoSpaceDN w:val="0"/>
        <w:adjustRightInd w:val="0"/>
        <w:spacing w:after="0" w:line="240" w:lineRule="auto"/>
        <w:rPr>
          <w:rFonts w:asciiTheme="majorBidi" w:hAnsiTheme="majorBidi" w:cstheme="majorBidi"/>
        </w:rPr>
      </w:pPr>
    </w:p>
    <w:tbl>
      <w:tblPr>
        <w:tblStyle w:val="TableGrid"/>
        <w:tblpPr w:leftFromText="180" w:rightFromText="180" w:vertAnchor="text" w:horzAnchor="page" w:tblpX="2116" w:tblpY="-55"/>
        <w:tblW w:w="0" w:type="auto"/>
        <w:tblLook w:val="04A0" w:firstRow="1" w:lastRow="0" w:firstColumn="1" w:lastColumn="0" w:noHBand="0" w:noVBand="1"/>
      </w:tblPr>
      <w:tblGrid>
        <w:gridCol w:w="3325"/>
        <w:gridCol w:w="2610"/>
        <w:gridCol w:w="3415"/>
      </w:tblGrid>
      <w:tr w:rsidR="008439C3" w:rsidRPr="002F66E0" w14:paraId="7E8A5759" w14:textId="77777777" w:rsidTr="008439C3">
        <w:trPr>
          <w:trHeight w:val="530"/>
        </w:trPr>
        <w:tc>
          <w:tcPr>
            <w:tcW w:w="3325" w:type="dxa"/>
            <w:tcBorders>
              <w:left w:val="single" w:sz="4" w:space="0" w:color="auto"/>
              <w:bottom w:val="single" w:sz="4" w:space="0" w:color="auto"/>
            </w:tcBorders>
          </w:tcPr>
          <w:p w14:paraId="04178036" w14:textId="77777777" w:rsidR="008439C3" w:rsidRPr="002F66E0" w:rsidRDefault="008439C3" w:rsidP="008439C3">
            <w:pPr>
              <w:autoSpaceDE w:val="0"/>
              <w:autoSpaceDN w:val="0"/>
              <w:adjustRightInd w:val="0"/>
              <w:jc w:val="center"/>
              <w:rPr>
                <w:rFonts w:asciiTheme="majorBidi" w:hAnsiTheme="majorBidi" w:cstheme="majorBidi"/>
              </w:rPr>
            </w:pPr>
          </w:p>
          <w:p w14:paraId="149E4E51"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Group</w:t>
            </w:r>
          </w:p>
        </w:tc>
        <w:tc>
          <w:tcPr>
            <w:tcW w:w="2610" w:type="dxa"/>
            <w:tcBorders>
              <w:bottom w:val="single" w:sz="4" w:space="0" w:color="auto"/>
            </w:tcBorders>
          </w:tcPr>
          <w:p w14:paraId="182F43D5" w14:textId="77777777" w:rsidR="008439C3" w:rsidRPr="002F66E0" w:rsidRDefault="008439C3" w:rsidP="008439C3">
            <w:pPr>
              <w:autoSpaceDE w:val="0"/>
              <w:autoSpaceDN w:val="0"/>
              <w:adjustRightInd w:val="0"/>
              <w:jc w:val="center"/>
              <w:rPr>
                <w:rFonts w:asciiTheme="majorBidi" w:hAnsiTheme="majorBidi" w:cstheme="majorBidi"/>
              </w:rPr>
            </w:pPr>
          </w:p>
          <w:p w14:paraId="684A0404"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n</w:t>
            </w:r>
          </w:p>
        </w:tc>
        <w:tc>
          <w:tcPr>
            <w:tcW w:w="3415" w:type="dxa"/>
            <w:tcBorders>
              <w:bottom w:val="single" w:sz="4" w:space="0" w:color="auto"/>
              <w:right w:val="single" w:sz="4" w:space="0" w:color="auto"/>
            </w:tcBorders>
          </w:tcPr>
          <w:p w14:paraId="7A88EBC9" w14:textId="77777777" w:rsidR="008439C3" w:rsidRPr="002F66E0" w:rsidRDefault="008439C3" w:rsidP="008439C3">
            <w:pPr>
              <w:autoSpaceDE w:val="0"/>
              <w:autoSpaceDN w:val="0"/>
              <w:adjustRightInd w:val="0"/>
              <w:jc w:val="center"/>
              <w:rPr>
                <w:rFonts w:asciiTheme="majorBidi" w:hAnsiTheme="majorBidi" w:cstheme="majorBidi"/>
              </w:rPr>
            </w:pPr>
          </w:p>
          <w:p w14:paraId="71CA7228"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Treatment for 8 days</w:t>
            </w:r>
          </w:p>
        </w:tc>
      </w:tr>
      <w:tr w:rsidR="008439C3" w:rsidRPr="002F66E0" w14:paraId="74ED08FB" w14:textId="77777777" w:rsidTr="008439C3">
        <w:trPr>
          <w:trHeight w:val="440"/>
        </w:trPr>
        <w:tc>
          <w:tcPr>
            <w:tcW w:w="3325" w:type="dxa"/>
            <w:tcBorders>
              <w:top w:val="single" w:sz="4" w:space="0" w:color="auto"/>
              <w:left w:val="single" w:sz="4" w:space="0" w:color="auto"/>
              <w:bottom w:val="single" w:sz="4" w:space="0" w:color="FFFFFF" w:themeColor="background1"/>
            </w:tcBorders>
          </w:tcPr>
          <w:p w14:paraId="1C45E40D" w14:textId="77777777" w:rsidR="008439C3" w:rsidRPr="002F66E0" w:rsidRDefault="008439C3" w:rsidP="008439C3">
            <w:pPr>
              <w:autoSpaceDE w:val="0"/>
              <w:autoSpaceDN w:val="0"/>
              <w:adjustRightInd w:val="0"/>
              <w:jc w:val="center"/>
              <w:rPr>
                <w:rFonts w:asciiTheme="majorBidi" w:hAnsiTheme="majorBidi" w:cstheme="majorBidi"/>
              </w:rPr>
            </w:pPr>
          </w:p>
          <w:p w14:paraId="404A7DCC"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Sham (tolerant)</w:t>
            </w:r>
          </w:p>
          <w:p w14:paraId="04C8C1FF"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Sham (OIH)</w:t>
            </w:r>
          </w:p>
        </w:tc>
        <w:tc>
          <w:tcPr>
            <w:tcW w:w="2610" w:type="dxa"/>
            <w:tcBorders>
              <w:top w:val="single" w:sz="4" w:space="0" w:color="auto"/>
              <w:bottom w:val="single" w:sz="4" w:space="0" w:color="FFFFFF" w:themeColor="background1"/>
            </w:tcBorders>
          </w:tcPr>
          <w:p w14:paraId="24C700AC" w14:textId="77777777" w:rsidR="008439C3" w:rsidRPr="002F66E0" w:rsidRDefault="008439C3" w:rsidP="008439C3">
            <w:pPr>
              <w:autoSpaceDE w:val="0"/>
              <w:autoSpaceDN w:val="0"/>
              <w:adjustRightInd w:val="0"/>
              <w:jc w:val="center"/>
              <w:rPr>
                <w:rFonts w:asciiTheme="majorBidi" w:hAnsiTheme="majorBidi" w:cstheme="majorBidi"/>
              </w:rPr>
            </w:pPr>
          </w:p>
          <w:p w14:paraId="01718055" w14:textId="77777777" w:rsidR="008439C3" w:rsidRPr="002F66E0" w:rsidRDefault="008439C3" w:rsidP="008439C3">
            <w:pPr>
              <w:autoSpaceDE w:val="0"/>
              <w:autoSpaceDN w:val="0"/>
              <w:adjustRightInd w:val="0"/>
              <w:jc w:val="center"/>
              <w:rPr>
                <w:rFonts w:asciiTheme="majorBidi" w:hAnsiTheme="majorBidi" w:cstheme="majorBidi"/>
              </w:rPr>
            </w:pPr>
          </w:p>
          <w:p w14:paraId="7A54F90B"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12</w:t>
            </w:r>
          </w:p>
        </w:tc>
        <w:tc>
          <w:tcPr>
            <w:tcW w:w="3415" w:type="dxa"/>
            <w:tcBorders>
              <w:top w:val="single" w:sz="4" w:space="0" w:color="auto"/>
              <w:bottom w:val="single" w:sz="4" w:space="0" w:color="FFFFFF" w:themeColor="background1"/>
              <w:right w:val="single" w:sz="4" w:space="0" w:color="auto"/>
            </w:tcBorders>
          </w:tcPr>
          <w:p w14:paraId="28E315BB" w14:textId="77777777" w:rsidR="008439C3" w:rsidRPr="002F66E0" w:rsidRDefault="008439C3" w:rsidP="008439C3">
            <w:pPr>
              <w:autoSpaceDE w:val="0"/>
              <w:autoSpaceDN w:val="0"/>
              <w:adjustRightInd w:val="0"/>
              <w:jc w:val="center"/>
              <w:rPr>
                <w:rFonts w:asciiTheme="majorBidi" w:hAnsiTheme="majorBidi" w:cstheme="majorBidi"/>
              </w:rPr>
            </w:pPr>
          </w:p>
          <w:p w14:paraId="2AC57A2E"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Saline</w:t>
            </w:r>
          </w:p>
        </w:tc>
      </w:tr>
      <w:tr w:rsidR="008439C3" w:rsidRPr="002F66E0" w14:paraId="5D6B5629" w14:textId="77777777" w:rsidTr="008439C3">
        <w:trPr>
          <w:trHeight w:val="890"/>
        </w:trPr>
        <w:tc>
          <w:tcPr>
            <w:tcW w:w="3325" w:type="dxa"/>
            <w:tcBorders>
              <w:top w:val="single" w:sz="4" w:space="0" w:color="FFFFFF" w:themeColor="background1"/>
              <w:left w:val="single" w:sz="4" w:space="0" w:color="auto"/>
              <w:bottom w:val="single" w:sz="4" w:space="0" w:color="FFFFFF" w:themeColor="background1"/>
            </w:tcBorders>
          </w:tcPr>
          <w:p w14:paraId="447E6FF5" w14:textId="77777777" w:rsidR="008439C3" w:rsidRPr="002F66E0" w:rsidRDefault="008439C3" w:rsidP="008439C3">
            <w:pPr>
              <w:autoSpaceDE w:val="0"/>
              <w:autoSpaceDN w:val="0"/>
              <w:adjustRightInd w:val="0"/>
              <w:jc w:val="center"/>
              <w:rPr>
                <w:rFonts w:asciiTheme="majorBidi" w:hAnsiTheme="majorBidi" w:cstheme="majorBidi"/>
              </w:rPr>
            </w:pPr>
          </w:p>
          <w:p w14:paraId="4199DDB3"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Morphine (tolerant)</w:t>
            </w:r>
          </w:p>
          <w:p w14:paraId="46DAF1BF"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Morphine (OIH)</w:t>
            </w:r>
          </w:p>
          <w:p w14:paraId="5878FE6F" w14:textId="77777777" w:rsidR="008439C3" w:rsidRPr="002F66E0" w:rsidRDefault="008439C3" w:rsidP="008439C3">
            <w:pPr>
              <w:autoSpaceDE w:val="0"/>
              <w:autoSpaceDN w:val="0"/>
              <w:adjustRightInd w:val="0"/>
              <w:jc w:val="center"/>
              <w:rPr>
                <w:rFonts w:asciiTheme="majorBidi" w:hAnsiTheme="majorBidi" w:cstheme="majorBidi"/>
              </w:rPr>
            </w:pPr>
          </w:p>
        </w:tc>
        <w:tc>
          <w:tcPr>
            <w:tcW w:w="2610" w:type="dxa"/>
            <w:tcBorders>
              <w:top w:val="single" w:sz="4" w:space="0" w:color="FFFFFF" w:themeColor="background1"/>
              <w:bottom w:val="single" w:sz="4" w:space="0" w:color="FFFFFF" w:themeColor="background1"/>
            </w:tcBorders>
          </w:tcPr>
          <w:p w14:paraId="34C5BE31" w14:textId="77777777" w:rsidR="008439C3" w:rsidRPr="002F66E0" w:rsidRDefault="008439C3" w:rsidP="008439C3">
            <w:pPr>
              <w:autoSpaceDE w:val="0"/>
              <w:autoSpaceDN w:val="0"/>
              <w:adjustRightInd w:val="0"/>
              <w:jc w:val="center"/>
              <w:rPr>
                <w:rFonts w:asciiTheme="majorBidi" w:hAnsiTheme="majorBidi" w:cstheme="majorBidi"/>
              </w:rPr>
            </w:pPr>
          </w:p>
          <w:p w14:paraId="211E3DC9" w14:textId="77777777" w:rsidR="008439C3" w:rsidRPr="002F66E0" w:rsidRDefault="008439C3" w:rsidP="008439C3">
            <w:pPr>
              <w:autoSpaceDE w:val="0"/>
              <w:autoSpaceDN w:val="0"/>
              <w:adjustRightInd w:val="0"/>
              <w:jc w:val="center"/>
              <w:rPr>
                <w:rFonts w:asciiTheme="majorBidi" w:hAnsiTheme="majorBidi" w:cstheme="majorBidi"/>
              </w:rPr>
            </w:pPr>
          </w:p>
          <w:p w14:paraId="203515A6"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12</w:t>
            </w:r>
          </w:p>
        </w:tc>
        <w:tc>
          <w:tcPr>
            <w:tcW w:w="3415" w:type="dxa"/>
            <w:tcBorders>
              <w:top w:val="single" w:sz="4" w:space="0" w:color="FFFFFF" w:themeColor="background1"/>
              <w:bottom w:val="single" w:sz="4" w:space="0" w:color="FFFFFF" w:themeColor="background1"/>
              <w:right w:val="single" w:sz="4" w:space="0" w:color="auto"/>
            </w:tcBorders>
          </w:tcPr>
          <w:p w14:paraId="2F8C3BAD" w14:textId="77777777" w:rsidR="008439C3" w:rsidRPr="002F66E0" w:rsidRDefault="008439C3" w:rsidP="008439C3">
            <w:pPr>
              <w:autoSpaceDE w:val="0"/>
              <w:autoSpaceDN w:val="0"/>
              <w:adjustRightInd w:val="0"/>
              <w:jc w:val="center"/>
              <w:rPr>
                <w:rFonts w:asciiTheme="majorBidi" w:hAnsiTheme="majorBidi" w:cstheme="majorBidi"/>
              </w:rPr>
            </w:pPr>
          </w:p>
          <w:p w14:paraId="31DA226E" w14:textId="77777777" w:rsidR="008439C3" w:rsidRPr="002F66E0" w:rsidRDefault="008439C3" w:rsidP="008439C3">
            <w:pPr>
              <w:autoSpaceDE w:val="0"/>
              <w:autoSpaceDN w:val="0"/>
              <w:adjustRightInd w:val="0"/>
              <w:jc w:val="center"/>
              <w:rPr>
                <w:rFonts w:asciiTheme="majorBidi" w:hAnsiTheme="majorBidi" w:cstheme="majorBidi"/>
              </w:rPr>
            </w:pPr>
          </w:p>
          <w:p w14:paraId="1867B3D9"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 xml:space="preserve">Morphine 10mg/kg daily </w:t>
            </w:r>
            <w:proofErr w:type="spellStart"/>
            <w:r w:rsidRPr="002F66E0">
              <w:rPr>
                <w:rFonts w:asciiTheme="majorBidi" w:hAnsiTheme="majorBidi" w:cstheme="majorBidi"/>
              </w:rPr>
              <w:t>i.p.</w:t>
            </w:r>
            <w:proofErr w:type="spellEnd"/>
          </w:p>
        </w:tc>
      </w:tr>
      <w:tr w:rsidR="008439C3" w:rsidRPr="002F66E0" w14:paraId="56D98B55" w14:textId="77777777" w:rsidTr="008439C3">
        <w:trPr>
          <w:trHeight w:val="440"/>
        </w:trPr>
        <w:tc>
          <w:tcPr>
            <w:tcW w:w="3325" w:type="dxa"/>
            <w:tcBorders>
              <w:top w:val="single" w:sz="4" w:space="0" w:color="FFFFFF" w:themeColor="background1"/>
              <w:left w:val="single" w:sz="4" w:space="0" w:color="auto"/>
              <w:bottom w:val="single" w:sz="4" w:space="0" w:color="FFFFFF" w:themeColor="background1"/>
            </w:tcBorders>
          </w:tcPr>
          <w:p w14:paraId="79D543EC"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Morphine+ Naloxone (tolerant)</w:t>
            </w:r>
          </w:p>
          <w:p w14:paraId="059BBD8F"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Morphine+ Naloxone (OIH)</w:t>
            </w:r>
          </w:p>
          <w:p w14:paraId="42C3BE23" w14:textId="77777777" w:rsidR="008439C3" w:rsidRPr="002F66E0" w:rsidRDefault="008439C3" w:rsidP="008439C3">
            <w:pPr>
              <w:autoSpaceDE w:val="0"/>
              <w:autoSpaceDN w:val="0"/>
              <w:adjustRightInd w:val="0"/>
              <w:jc w:val="center"/>
              <w:rPr>
                <w:rFonts w:asciiTheme="majorBidi" w:hAnsiTheme="majorBidi" w:cstheme="majorBidi"/>
              </w:rPr>
            </w:pPr>
          </w:p>
        </w:tc>
        <w:tc>
          <w:tcPr>
            <w:tcW w:w="2610" w:type="dxa"/>
            <w:tcBorders>
              <w:top w:val="single" w:sz="4" w:space="0" w:color="FFFFFF" w:themeColor="background1"/>
              <w:bottom w:val="single" w:sz="4" w:space="0" w:color="FFFFFF" w:themeColor="background1"/>
            </w:tcBorders>
          </w:tcPr>
          <w:p w14:paraId="6A621E7A" w14:textId="77777777" w:rsidR="008439C3" w:rsidRPr="002F66E0" w:rsidRDefault="008439C3" w:rsidP="008439C3">
            <w:pPr>
              <w:autoSpaceDE w:val="0"/>
              <w:autoSpaceDN w:val="0"/>
              <w:adjustRightInd w:val="0"/>
              <w:jc w:val="center"/>
              <w:rPr>
                <w:rFonts w:asciiTheme="majorBidi" w:hAnsiTheme="majorBidi" w:cstheme="majorBidi"/>
              </w:rPr>
            </w:pPr>
          </w:p>
          <w:p w14:paraId="51381F63"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12</w:t>
            </w:r>
          </w:p>
        </w:tc>
        <w:tc>
          <w:tcPr>
            <w:tcW w:w="3415" w:type="dxa"/>
            <w:tcBorders>
              <w:top w:val="single" w:sz="4" w:space="0" w:color="FFFFFF" w:themeColor="background1"/>
              <w:bottom w:val="single" w:sz="4" w:space="0" w:color="FFFFFF" w:themeColor="background1"/>
              <w:right w:val="single" w:sz="4" w:space="0" w:color="auto"/>
            </w:tcBorders>
          </w:tcPr>
          <w:p w14:paraId="7118F679" w14:textId="77777777" w:rsidR="008439C3" w:rsidRPr="002F66E0" w:rsidRDefault="008439C3" w:rsidP="008439C3">
            <w:pPr>
              <w:autoSpaceDE w:val="0"/>
              <w:autoSpaceDN w:val="0"/>
              <w:adjustRightInd w:val="0"/>
              <w:jc w:val="center"/>
              <w:rPr>
                <w:rFonts w:asciiTheme="majorBidi" w:hAnsiTheme="majorBidi" w:cstheme="majorBidi"/>
              </w:rPr>
            </w:pPr>
          </w:p>
          <w:p w14:paraId="65B4742B"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 xml:space="preserve">Morphine10mg/kg+Naloxone15ng daily </w:t>
            </w:r>
            <w:proofErr w:type="spellStart"/>
            <w:r w:rsidRPr="002F66E0">
              <w:rPr>
                <w:rFonts w:asciiTheme="majorBidi" w:hAnsiTheme="majorBidi" w:cstheme="majorBidi"/>
              </w:rPr>
              <w:t>i.p.</w:t>
            </w:r>
            <w:proofErr w:type="spellEnd"/>
          </w:p>
        </w:tc>
      </w:tr>
      <w:tr w:rsidR="008439C3" w:rsidRPr="002F66E0" w14:paraId="3C3F9D56" w14:textId="77777777" w:rsidTr="008439C3">
        <w:trPr>
          <w:trHeight w:val="350"/>
        </w:trPr>
        <w:tc>
          <w:tcPr>
            <w:tcW w:w="3325" w:type="dxa"/>
            <w:tcBorders>
              <w:top w:val="single" w:sz="4" w:space="0" w:color="FFFFFF" w:themeColor="background1"/>
              <w:left w:val="single" w:sz="4" w:space="0" w:color="auto"/>
            </w:tcBorders>
          </w:tcPr>
          <w:p w14:paraId="72C3236D"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Naloxone+ Saline (tolerant)</w:t>
            </w:r>
          </w:p>
          <w:p w14:paraId="43330DD9"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Naloxone+ Saline (OIH)</w:t>
            </w:r>
          </w:p>
          <w:p w14:paraId="18A72469" w14:textId="77777777" w:rsidR="008439C3" w:rsidRPr="002F66E0" w:rsidRDefault="008439C3" w:rsidP="008439C3">
            <w:pPr>
              <w:autoSpaceDE w:val="0"/>
              <w:autoSpaceDN w:val="0"/>
              <w:adjustRightInd w:val="0"/>
              <w:jc w:val="center"/>
              <w:rPr>
                <w:rFonts w:asciiTheme="majorBidi" w:hAnsiTheme="majorBidi" w:cstheme="majorBidi"/>
              </w:rPr>
            </w:pPr>
          </w:p>
        </w:tc>
        <w:tc>
          <w:tcPr>
            <w:tcW w:w="2610" w:type="dxa"/>
            <w:tcBorders>
              <w:top w:val="single" w:sz="4" w:space="0" w:color="FFFFFF" w:themeColor="background1"/>
            </w:tcBorders>
          </w:tcPr>
          <w:p w14:paraId="5F2C9D2B" w14:textId="77777777" w:rsidR="008439C3" w:rsidRPr="002F66E0" w:rsidRDefault="008439C3" w:rsidP="008439C3">
            <w:pPr>
              <w:autoSpaceDE w:val="0"/>
              <w:autoSpaceDN w:val="0"/>
              <w:adjustRightInd w:val="0"/>
              <w:jc w:val="center"/>
              <w:rPr>
                <w:rFonts w:asciiTheme="majorBidi" w:hAnsiTheme="majorBidi" w:cstheme="majorBidi"/>
              </w:rPr>
            </w:pPr>
          </w:p>
          <w:p w14:paraId="4D967055"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12</w:t>
            </w:r>
          </w:p>
        </w:tc>
        <w:tc>
          <w:tcPr>
            <w:tcW w:w="3415" w:type="dxa"/>
            <w:tcBorders>
              <w:top w:val="single" w:sz="4" w:space="0" w:color="FFFFFF" w:themeColor="background1"/>
              <w:right w:val="single" w:sz="4" w:space="0" w:color="auto"/>
            </w:tcBorders>
          </w:tcPr>
          <w:p w14:paraId="1F60546F" w14:textId="77777777" w:rsidR="008439C3" w:rsidRPr="002F66E0" w:rsidRDefault="008439C3" w:rsidP="008439C3">
            <w:pPr>
              <w:autoSpaceDE w:val="0"/>
              <w:autoSpaceDN w:val="0"/>
              <w:adjustRightInd w:val="0"/>
              <w:jc w:val="center"/>
              <w:rPr>
                <w:rFonts w:asciiTheme="majorBidi" w:hAnsiTheme="majorBidi" w:cstheme="majorBidi"/>
              </w:rPr>
            </w:pPr>
          </w:p>
          <w:p w14:paraId="4D93DAD9" w14:textId="77777777" w:rsidR="008439C3" w:rsidRPr="002F66E0" w:rsidRDefault="008439C3" w:rsidP="008439C3">
            <w:pPr>
              <w:autoSpaceDE w:val="0"/>
              <w:autoSpaceDN w:val="0"/>
              <w:adjustRightInd w:val="0"/>
              <w:jc w:val="center"/>
              <w:rPr>
                <w:rFonts w:asciiTheme="majorBidi" w:hAnsiTheme="majorBidi" w:cstheme="majorBidi"/>
              </w:rPr>
            </w:pPr>
            <w:r w:rsidRPr="002F66E0">
              <w:rPr>
                <w:rFonts w:asciiTheme="majorBidi" w:hAnsiTheme="majorBidi" w:cstheme="majorBidi"/>
              </w:rPr>
              <w:t xml:space="preserve">naloxone15ng +saline daily </w:t>
            </w:r>
            <w:proofErr w:type="spellStart"/>
            <w:r w:rsidRPr="002F66E0">
              <w:rPr>
                <w:rFonts w:asciiTheme="majorBidi" w:hAnsiTheme="majorBidi" w:cstheme="majorBidi"/>
              </w:rPr>
              <w:t>i.p.</w:t>
            </w:r>
            <w:proofErr w:type="spellEnd"/>
          </w:p>
        </w:tc>
      </w:tr>
    </w:tbl>
    <w:p w14:paraId="6F83B24C" w14:textId="77777777" w:rsidR="008439C3" w:rsidRPr="002F66E0" w:rsidRDefault="008439C3" w:rsidP="008439C3">
      <w:pPr>
        <w:autoSpaceDE w:val="0"/>
        <w:autoSpaceDN w:val="0"/>
        <w:adjustRightInd w:val="0"/>
        <w:spacing w:after="0" w:line="240" w:lineRule="auto"/>
        <w:jc w:val="center"/>
        <w:rPr>
          <w:rFonts w:asciiTheme="majorBidi" w:hAnsiTheme="majorBidi" w:cstheme="majorBidi"/>
        </w:rPr>
      </w:pPr>
    </w:p>
    <w:p w14:paraId="2A5C0772" w14:textId="77777777" w:rsidR="008439C3" w:rsidRPr="002F66E0" w:rsidRDefault="008439C3" w:rsidP="008439C3">
      <w:pPr>
        <w:autoSpaceDE w:val="0"/>
        <w:autoSpaceDN w:val="0"/>
        <w:adjustRightInd w:val="0"/>
        <w:spacing w:after="0" w:line="240" w:lineRule="auto"/>
        <w:jc w:val="center"/>
        <w:rPr>
          <w:rFonts w:asciiTheme="majorBidi" w:hAnsiTheme="majorBidi" w:cstheme="majorBidi"/>
        </w:rPr>
      </w:pPr>
    </w:p>
    <w:p w14:paraId="27966161" w14:textId="77777777" w:rsidR="008439C3" w:rsidRPr="002F66E0" w:rsidRDefault="008439C3" w:rsidP="008439C3">
      <w:pPr>
        <w:autoSpaceDE w:val="0"/>
        <w:autoSpaceDN w:val="0"/>
        <w:adjustRightInd w:val="0"/>
        <w:spacing w:after="0" w:line="240" w:lineRule="auto"/>
        <w:jc w:val="center"/>
        <w:rPr>
          <w:rFonts w:asciiTheme="majorBidi" w:hAnsiTheme="majorBidi" w:cstheme="majorBidi"/>
        </w:rPr>
      </w:pPr>
    </w:p>
    <w:p w14:paraId="4F228C39" w14:textId="77777777" w:rsidR="008439C3" w:rsidRPr="002F66E0" w:rsidRDefault="008439C3" w:rsidP="008439C3">
      <w:pPr>
        <w:autoSpaceDE w:val="0"/>
        <w:autoSpaceDN w:val="0"/>
        <w:adjustRightInd w:val="0"/>
        <w:spacing w:after="0" w:line="240" w:lineRule="auto"/>
        <w:jc w:val="center"/>
        <w:rPr>
          <w:rFonts w:asciiTheme="majorBidi" w:hAnsiTheme="majorBidi" w:cstheme="majorBidi"/>
        </w:rPr>
      </w:pPr>
    </w:p>
    <w:p w14:paraId="7B6A3335" w14:textId="77777777" w:rsidR="008439C3" w:rsidRPr="002F66E0" w:rsidRDefault="008439C3" w:rsidP="008439C3">
      <w:pPr>
        <w:autoSpaceDE w:val="0"/>
        <w:autoSpaceDN w:val="0"/>
        <w:adjustRightInd w:val="0"/>
        <w:spacing w:after="0" w:line="240" w:lineRule="auto"/>
        <w:jc w:val="center"/>
        <w:rPr>
          <w:rFonts w:asciiTheme="majorBidi" w:hAnsiTheme="majorBidi" w:cstheme="majorBidi"/>
        </w:rPr>
      </w:pPr>
    </w:p>
    <w:p w14:paraId="343B638D" w14:textId="77777777" w:rsidR="008439C3" w:rsidRPr="002F66E0" w:rsidRDefault="008439C3" w:rsidP="008439C3">
      <w:pPr>
        <w:autoSpaceDE w:val="0"/>
        <w:autoSpaceDN w:val="0"/>
        <w:adjustRightInd w:val="0"/>
        <w:spacing w:after="0" w:line="240" w:lineRule="auto"/>
        <w:jc w:val="center"/>
        <w:rPr>
          <w:rFonts w:asciiTheme="majorBidi" w:hAnsiTheme="majorBidi" w:cstheme="majorBidi"/>
        </w:rPr>
      </w:pPr>
    </w:p>
    <w:p w14:paraId="6566F641" w14:textId="77777777" w:rsidR="008439C3" w:rsidRPr="002F66E0" w:rsidRDefault="008439C3" w:rsidP="008439C3">
      <w:pPr>
        <w:autoSpaceDE w:val="0"/>
        <w:autoSpaceDN w:val="0"/>
        <w:adjustRightInd w:val="0"/>
        <w:spacing w:after="0" w:line="240" w:lineRule="auto"/>
        <w:jc w:val="center"/>
        <w:rPr>
          <w:rFonts w:asciiTheme="majorBidi" w:hAnsiTheme="majorBidi" w:cstheme="majorBidi"/>
        </w:rPr>
      </w:pPr>
    </w:p>
    <w:p w14:paraId="3A021A3E" w14:textId="77777777" w:rsidR="008439C3" w:rsidRPr="002F66E0" w:rsidRDefault="008439C3" w:rsidP="008439C3">
      <w:pPr>
        <w:autoSpaceDE w:val="0"/>
        <w:autoSpaceDN w:val="0"/>
        <w:adjustRightInd w:val="0"/>
        <w:spacing w:after="0" w:line="240" w:lineRule="auto"/>
        <w:jc w:val="center"/>
        <w:rPr>
          <w:rFonts w:asciiTheme="majorBidi" w:hAnsiTheme="majorBidi" w:cstheme="majorBidi"/>
        </w:rPr>
      </w:pPr>
    </w:p>
    <w:p w14:paraId="7DB5954F" w14:textId="77777777" w:rsidR="008439C3" w:rsidRPr="002F66E0" w:rsidRDefault="008439C3" w:rsidP="008439C3">
      <w:pPr>
        <w:autoSpaceDE w:val="0"/>
        <w:autoSpaceDN w:val="0"/>
        <w:adjustRightInd w:val="0"/>
        <w:spacing w:after="0" w:line="240" w:lineRule="auto"/>
        <w:jc w:val="center"/>
        <w:rPr>
          <w:rFonts w:asciiTheme="majorBidi" w:hAnsiTheme="majorBidi" w:cstheme="majorBidi"/>
        </w:rPr>
      </w:pPr>
    </w:p>
    <w:p w14:paraId="3A2E0145" w14:textId="77777777" w:rsidR="008439C3" w:rsidRPr="002F66E0" w:rsidRDefault="008439C3" w:rsidP="008439C3">
      <w:pPr>
        <w:autoSpaceDE w:val="0"/>
        <w:autoSpaceDN w:val="0"/>
        <w:adjustRightInd w:val="0"/>
        <w:spacing w:after="0" w:line="240" w:lineRule="auto"/>
        <w:jc w:val="center"/>
        <w:rPr>
          <w:rFonts w:asciiTheme="majorBidi" w:hAnsiTheme="majorBidi" w:cstheme="majorBidi"/>
        </w:rPr>
      </w:pPr>
    </w:p>
    <w:p w14:paraId="11F37A6D" w14:textId="77777777" w:rsidR="008439C3" w:rsidRPr="002F66E0" w:rsidRDefault="008439C3" w:rsidP="008439C3">
      <w:pPr>
        <w:autoSpaceDE w:val="0"/>
        <w:autoSpaceDN w:val="0"/>
        <w:adjustRightInd w:val="0"/>
        <w:spacing w:after="0" w:line="240" w:lineRule="auto"/>
        <w:jc w:val="center"/>
        <w:rPr>
          <w:rFonts w:asciiTheme="majorBidi" w:hAnsiTheme="majorBidi" w:cstheme="majorBidi"/>
        </w:rPr>
      </w:pPr>
    </w:p>
    <w:p w14:paraId="44AC7094" w14:textId="77777777" w:rsidR="008439C3" w:rsidRPr="002F66E0" w:rsidRDefault="008439C3" w:rsidP="008439C3">
      <w:pPr>
        <w:autoSpaceDE w:val="0"/>
        <w:autoSpaceDN w:val="0"/>
        <w:adjustRightInd w:val="0"/>
        <w:spacing w:after="0" w:line="240" w:lineRule="auto"/>
        <w:rPr>
          <w:rFonts w:asciiTheme="majorBidi" w:hAnsiTheme="majorBidi" w:cstheme="majorBidi"/>
        </w:rPr>
      </w:pPr>
    </w:p>
    <w:p w14:paraId="2667B476" w14:textId="77777777" w:rsidR="008439C3" w:rsidRPr="002F66E0" w:rsidRDefault="008439C3" w:rsidP="008439C3">
      <w:pPr>
        <w:pStyle w:val="NoSpacing"/>
        <w:rPr>
          <w:rFonts w:asciiTheme="majorBidi" w:hAnsiTheme="majorBidi" w:cstheme="majorBidi"/>
        </w:rPr>
      </w:pPr>
    </w:p>
    <w:p w14:paraId="7382CC69" w14:textId="77777777" w:rsidR="008439C3" w:rsidRPr="002F66E0" w:rsidRDefault="008439C3" w:rsidP="008439C3">
      <w:pPr>
        <w:pStyle w:val="NoSpacing"/>
        <w:rPr>
          <w:rFonts w:asciiTheme="majorBidi" w:hAnsiTheme="majorBidi" w:cstheme="majorBidi"/>
        </w:rPr>
      </w:pPr>
    </w:p>
    <w:p w14:paraId="7BE8C529" w14:textId="77777777" w:rsidR="008439C3" w:rsidRPr="002F66E0" w:rsidRDefault="008439C3" w:rsidP="008439C3">
      <w:pPr>
        <w:pStyle w:val="NoSpacing"/>
        <w:rPr>
          <w:rFonts w:asciiTheme="majorBidi" w:hAnsiTheme="majorBidi" w:cstheme="majorBidi"/>
        </w:rPr>
      </w:pPr>
    </w:p>
    <w:p w14:paraId="2BE0C130" w14:textId="77777777" w:rsidR="008439C3" w:rsidRPr="002F66E0" w:rsidRDefault="008439C3" w:rsidP="008439C3">
      <w:pPr>
        <w:pStyle w:val="NoSpacing"/>
        <w:rPr>
          <w:rFonts w:asciiTheme="majorBidi" w:hAnsiTheme="majorBidi" w:cstheme="majorBidi"/>
          <w:sz w:val="24"/>
          <w:szCs w:val="24"/>
        </w:rPr>
      </w:pPr>
    </w:p>
    <w:p w14:paraId="68601BB0" w14:textId="77777777" w:rsidR="008439C3" w:rsidRDefault="008439C3" w:rsidP="008439C3">
      <w:pPr>
        <w:pStyle w:val="NoSpacing"/>
        <w:rPr>
          <w:rFonts w:asciiTheme="majorBidi" w:hAnsiTheme="majorBidi" w:cstheme="majorBidi"/>
          <w:b/>
          <w:bCs/>
          <w:sz w:val="24"/>
          <w:szCs w:val="24"/>
        </w:rPr>
      </w:pPr>
      <w:r w:rsidRPr="00C111B5">
        <w:rPr>
          <w:rFonts w:asciiTheme="majorBidi" w:hAnsiTheme="majorBidi" w:cstheme="majorBidi"/>
          <w:b/>
          <w:bCs/>
          <w:sz w:val="24"/>
          <w:szCs w:val="24"/>
        </w:rPr>
        <w:t>5.2.</w:t>
      </w:r>
      <w:r>
        <w:rPr>
          <w:rFonts w:asciiTheme="majorBidi" w:hAnsiTheme="majorBidi" w:cstheme="majorBidi"/>
          <w:b/>
          <w:bCs/>
          <w:sz w:val="24"/>
          <w:szCs w:val="24"/>
        </w:rPr>
        <w:t xml:space="preserve"> </w:t>
      </w:r>
      <w:r w:rsidRPr="00C111B5">
        <w:rPr>
          <w:rFonts w:asciiTheme="majorBidi" w:hAnsiTheme="majorBidi" w:cstheme="majorBidi"/>
          <w:b/>
          <w:bCs/>
          <w:sz w:val="24"/>
          <w:szCs w:val="24"/>
        </w:rPr>
        <w:t>Instruments and Reagents </w:t>
      </w:r>
    </w:p>
    <w:p w14:paraId="4A131331" w14:textId="77777777" w:rsidR="008439C3" w:rsidRDefault="008439C3" w:rsidP="008439C3">
      <w:pPr>
        <w:pStyle w:val="NoSpacing"/>
        <w:rPr>
          <w:rFonts w:asciiTheme="majorBidi" w:hAnsiTheme="majorBidi" w:cstheme="majorBidi"/>
          <w:b/>
          <w:bCs/>
          <w:sz w:val="24"/>
          <w:szCs w:val="24"/>
        </w:rPr>
      </w:pPr>
    </w:p>
    <w:p w14:paraId="58D419FD" w14:textId="77777777" w:rsidR="008439C3" w:rsidRPr="002F66E0" w:rsidRDefault="008439C3" w:rsidP="008439C3">
      <w:pPr>
        <w:autoSpaceDE w:val="0"/>
        <w:autoSpaceDN w:val="0"/>
        <w:adjustRightInd w:val="0"/>
        <w:spacing w:after="0" w:line="480" w:lineRule="auto"/>
        <w:jc w:val="both"/>
        <w:rPr>
          <w:rFonts w:asciiTheme="majorBidi" w:hAnsiTheme="majorBidi" w:cstheme="majorBidi"/>
          <w:color w:val="1C1E29"/>
          <w:sz w:val="24"/>
          <w:szCs w:val="24"/>
        </w:rPr>
      </w:pPr>
      <w:r w:rsidRPr="009007A3">
        <w:rPr>
          <w:rFonts w:asciiTheme="majorBidi" w:hAnsiTheme="majorBidi" w:cstheme="majorBidi"/>
          <w:color w:val="1C1E29"/>
          <w:sz w:val="24"/>
          <w:szCs w:val="24"/>
        </w:rPr>
        <w:t>Hargreaves Apparatus (Ugo Basile, Italy), tail-flick (</w:t>
      </w:r>
      <w:proofErr w:type="spellStart"/>
      <w:r w:rsidRPr="009007A3">
        <w:rPr>
          <w:rFonts w:asciiTheme="majorBidi" w:hAnsiTheme="majorBidi" w:cstheme="majorBidi"/>
          <w:color w:val="1C1E29"/>
          <w:sz w:val="24"/>
          <w:szCs w:val="24"/>
        </w:rPr>
        <w:t>Borje</w:t>
      </w:r>
      <w:proofErr w:type="spellEnd"/>
      <w:r w:rsidRPr="009007A3">
        <w:rPr>
          <w:rFonts w:asciiTheme="majorBidi" w:hAnsiTheme="majorBidi" w:cstheme="majorBidi"/>
          <w:color w:val="1C1E29"/>
          <w:sz w:val="24"/>
          <w:szCs w:val="24"/>
        </w:rPr>
        <w:t xml:space="preserve"> </w:t>
      </w:r>
      <w:proofErr w:type="spellStart"/>
      <w:r w:rsidRPr="009007A3">
        <w:rPr>
          <w:rFonts w:asciiTheme="majorBidi" w:hAnsiTheme="majorBidi" w:cstheme="majorBidi"/>
          <w:color w:val="1C1E29"/>
          <w:sz w:val="24"/>
          <w:szCs w:val="24"/>
        </w:rPr>
        <w:t>Sanat</w:t>
      </w:r>
      <w:proofErr w:type="spellEnd"/>
      <w:r w:rsidRPr="009007A3">
        <w:rPr>
          <w:rFonts w:asciiTheme="majorBidi" w:hAnsiTheme="majorBidi" w:cstheme="majorBidi"/>
          <w:color w:val="1C1E29"/>
          <w:sz w:val="24"/>
          <w:szCs w:val="24"/>
        </w:rPr>
        <w:t>, Iran), centrifuge,    polyvinylidene difluoride (PVDF) membrane,</w:t>
      </w:r>
      <w:r>
        <w:rPr>
          <w:rFonts w:asciiTheme="majorBidi" w:hAnsiTheme="majorBidi" w:cstheme="majorBidi"/>
          <w:color w:val="1C1E29"/>
          <w:sz w:val="24"/>
          <w:szCs w:val="24"/>
        </w:rPr>
        <w:t xml:space="preserve"> </w:t>
      </w:r>
      <w:r w:rsidRPr="009007A3">
        <w:rPr>
          <w:rFonts w:asciiTheme="majorBidi" w:hAnsiTheme="majorBidi" w:cstheme="majorBidi"/>
          <w:color w:val="1C1E29"/>
          <w:sz w:val="24"/>
          <w:szCs w:val="24"/>
        </w:rPr>
        <w:t>Bio-Rad immunoblotting apparat</w:t>
      </w:r>
      <w:r w:rsidRPr="009007A3">
        <w:rPr>
          <w:rFonts w:asciiTheme="majorBidi" w:hAnsiTheme="majorBidi" w:cstheme="majorBidi"/>
          <w:sz w:val="24"/>
          <w:szCs w:val="24"/>
        </w:rPr>
        <w:t xml:space="preserve"> ECL chemiluminescence,  </w:t>
      </w:r>
      <w:r w:rsidRPr="009007A3">
        <w:rPr>
          <w:rFonts w:asciiTheme="majorBidi" w:hAnsiTheme="majorBidi" w:cstheme="majorBidi"/>
          <w:color w:val="1C1E29"/>
          <w:sz w:val="24"/>
          <w:szCs w:val="24"/>
        </w:rPr>
        <w:t>optical Olympus AX70 microscope (Japan) with a DP11 digital camera,</w:t>
      </w:r>
      <w:r w:rsidRPr="009007A3">
        <w:rPr>
          <w:rFonts w:asciiTheme="majorBidi" w:hAnsiTheme="majorBidi" w:cstheme="majorBidi"/>
          <w:sz w:val="24"/>
          <w:szCs w:val="24"/>
        </w:rPr>
        <w:t xml:space="preserve"> Morphine sulphate (</w:t>
      </w:r>
      <w:proofErr w:type="spellStart"/>
      <w:r w:rsidRPr="009007A3">
        <w:rPr>
          <w:rFonts w:asciiTheme="majorBidi" w:hAnsiTheme="majorBidi" w:cstheme="majorBidi"/>
          <w:sz w:val="24"/>
          <w:szCs w:val="24"/>
        </w:rPr>
        <w:t>Temad</w:t>
      </w:r>
      <w:proofErr w:type="spellEnd"/>
      <w:r w:rsidRPr="009007A3">
        <w:rPr>
          <w:rFonts w:asciiTheme="majorBidi" w:hAnsiTheme="majorBidi" w:cstheme="majorBidi"/>
          <w:sz w:val="24"/>
          <w:szCs w:val="24"/>
        </w:rPr>
        <w:t xml:space="preserve"> Co, Iran),  naloxone hydrochloride (Santa Cruz, USA),   Isoflurane (Primal Critical Care, UK),</w:t>
      </w:r>
      <w:r w:rsidRPr="009007A3">
        <w:rPr>
          <w:rFonts w:asciiTheme="majorBidi" w:hAnsiTheme="majorBidi" w:cstheme="majorBidi"/>
          <w:color w:val="1C1E29"/>
          <w:sz w:val="24"/>
          <w:szCs w:val="24"/>
        </w:rPr>
        <w:t xml:space="preserve"> ketamine (Sigma, USA),  xylazine (Sigma, USA)</w:t>
      </w:r>
      <w:r>
        <w:rPr>
          <w:rFonts w:asciiTheme="majorBidi" w:hAnsiTheme="majorBidi" w:cstheme="majorBidi"/>
          <w:color w:val="1C1E29"/>
          <w:sz w:val="24"/>
          <w:szCs w:val="24"/>
        </w:rPr>
        <w:t>.</w:t>
      </w:r>
    </w:p>
    <w:p w14:paraId="5BF5DAEC" w14:textId="77777777" w:rsidR="008439C3" w:rsidRPr="00FE2A55" w:rsidRDefault="008439C3" w:rsidP="008439C3">
      <w:pPr>
        <w:pStyle w:val="NormalWeb"/>
        <w:spacing w:before="0" w:beforeAutospacing="0" w:after="0" w:afterAutospacing="0" w:line="480" w:lineRule="auto"/>
        <w:jc w:val="both"/>
        <w:rPr>
          <w:rFonts w:asciiTheme="majorBidi" w:hAnsiTheme="majorBidi" w:cstheme="majorBidi"/>
          <w:color w:val="1C1E29"/>
        </w:rPr>
      </w:pPr>
    </w:p>
    <w:p w14:paraId="01DC6BAD" w14:textId="77777777" w:rsidR="008439C3" w:rsidRPr="00FE2A55" w:rsidRDefault="008439C3" w:rsidP="008439C3">
      <w:pPr>
        <w:pStyle w:val="NormalWeb"/>
        <w:spacing w:before="0" w:beforeAutospacing="0" w:after="0" w:afterAutospacing="0" w:line="480" w:lineRule="auto"/>
        <w:jc w:val="both"/>
        <w:rPr>
          <w:rFonts w:asciiTheme="majorBidi" w:hAnsiTheme="majorBidi" w:cstheme="majorBidi"/>
          <w:color w:val="1C1E29"/>
        </w:rPr>
      </w:pPr>
      <w:r>
        <w:rPr>
          <w:rStyle w:val="Strong"/>
          <w:rFonts w:asciiTheme="majorBidi" w:hAnsiTheme="majorBidi" w:cstheme="majorBidi"/>
          <w:color w:val="1C1E29"/>
        </w:rPr>
        <w:t>5</w:t>
      </w:r>
      <w:r w:rsidRPr="00FE2A55">
        <w:rPr>
          <w:rStyle w:val="Strong"/>
          <w:rFonts w:asciiTheme="majorBidi" w:hAnsiTheme="majorBidi" w:cstheme="majorBidi"/>
          <w:color w:val="1C1E29"/>
        </w:rPr>
        <w:t>.3. Behavioral tests</w:t>
      </w:r>
    </w:p>
    <w:p w14:paraId="001B7A75" w14:textId="77777777" w:rsidR="008439C3" w:rsidRPr="00FE2A55"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FE2A55">
        <w:rPr>
          <w:rFonts w:asciiTheme="majorBidi" w:hAnsiTheme="majorBidi" w:cstheme="majorBidi"/>
          <w:color w:val="1C1E29"/>
        </w:rPr>
        <w:t>The plantar test (</w:t>
      </w:r>
      <w:bookmarkStart w:id="11" w:name="_Hlk32166778"/>
      <w:r w:rsidRPr="00FE2A55">
        <w:rPr>
          <w:rFonts w:asciiTheme="majorBidi" w:hAnsiTheme="majorBidi" w:cstheme="majorBidi"/>
          <w:color w:val="1C1E29"/>
        </w:rPr>
        <w:t xml:space="preserve">Hargreaves </w:t>
      </w:r>
      <w:bookmarkEnd w:id="11"/>
      <w:r w:rsidRPr="00FE2A55">
        <w:rPr>
          <w:rFonts w:asciiTheme="majorBidi" w:hAnsiTheme="majorBidi" w:cstheme="majorBidi"/>
          <w:color w:val="1C1E29"/>
        </w:rPr>
        <w:t>method) was used to assess the development of thermal hyperalgesia. Rats were placed in the plexiglass chambers to adapt to the lab environment</w:t>
      </w:r>
      <w:r>
        <w:rPr>
          <w:rFonts w:asciiTheme="majorBidi" w:hAnsiTheme="majorBidi" w:cstheme="majorBidi"/>
          <w:color w:val="1C1E29"/>
        </w:rPr>
        <w:t xml:space="preserve"> </w:t>
      </w:r>
      <w:r w:rsidRPr="00FE2A55">
        <w:rPr>
          <w:rFonts w:asciiTheme="majorBidi" w:hAnsiTheme="majorBidi" w:cstheme="majorBidi"/>
          <w:color w:val="1C1E29"/>
        </w:rPr>
        <w:t xml:space="preserve">30 minutes before the initiation of tests. A light beam, as the heat source, was focused on the middle surface of the </w:t>
      </w:r>
      <w:r>
        <w:rPr>
          <w:rFonts w:asciiTheme="majorBidi" w:hAnsiTheme="majorBidi" w:cstheme="majorBidi"/>
          <w:color w:val="1C1E29"/>
        </w:rPr>
        <w:t xml:space="preserve">rat’s </w:t>
      </w:r>
      <w:r w:rsidRPr="00FE2A55">
        <w:rPr>
          <w:rFonts w:asciiTheme="majorBidi" w:hAnsiTheme="majorBidi" w:cstheme="majorBidi"/>
          <w:color w:val="1C1E29"/>
        </w:rPr>
        <w:t xml:space="preserve">right hind paw. The time interval between the initiation of the </w:t>
      </w:r>
      <w:bookmarkStart w:id="12" w:name="_Hlk32166814"/>
      <w:r w:rsidRPr="00FE2A55">
        <w:rPr>
          <w:rFonts w:asciiTheme="majorBidi" w:hAnsiTheme="majorBidi" w:cstheme="majorBidi"/>
          <w:color w:val="1C1E29"/>
        </w:rPr>
        <w:t xml:space="preserve">light beam </w:t>
      </w:r>
      <w:bookmarkEnd w:id="12"/>
      <w:r w:rsidRPr="00FE2A55">
        <w:rPr>
          <w:rFonts w:asciiTheme="majorBidi" w:hAnsiTheme="majorBidi" w:cstheme="majorBidi"/>
          <w:color w:val="1C1E29"/>
        </w:rPr>
        <w:t xml:space="preserve">and the rapid withdrawal of </w:t>
      </w:r>
      <w:r>
        <w:rPr>
          <w:rFonts w:asciiTheme="majorBidi" w:hAnsiTheme="majorBidi" w:cstheme="majorBidi"/>
          <w:color w:val="1C1E29"/>
        </w:rPr>
        <w:t xml:space="preserve">the </w:t>
      </w:r>
      <w:r w:rsidRPr="00FE2A55">
        <w:rPr>
          <w:rFonts w:asciiTheme="majorBidi" w:hAnsiTheme="majorBidi" w:cstheme="majorBidi"/>
          <w:color w:val="1C1E29"/>
        </w:rPr>
        <w:t xml:space="preserve">hind paw was considered as the nociceptive threshold. A cut off time of 30 seconds was set to prevent tissue damage. </w:t>
      </w:r>
      <w:r w:rsidRPr="00FE2A55">
        <w:rPr>
          <w:rFonts w:asciiTheme="majorBidi" w:hAnsiTheme="majorBidi" w:cstheme="majorBidi"/>
          <w:color w:val="1C1E29"/>
        </w:rPr>
        <w:lastRenderedPageBreak/>
        <w:t>The plantar test was performed on day 1, before the first injection of morphine and on day 10, 48 hours after the last morphine injection. On each day, 5 trials were made with 5 minutes interval and mean paw withdrawal latency (PWL) was obtained. A significant decrease in PWL from baseline in day 1 was defined as thermal hyperalgesia. </w:t>
      </w:r>
    </w:p>
    <w:p w14:paraId="39358D3C" w14:textId="77777777" w:rsidR="008439C3" w:rsidRPr="00FE2A55"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FE2A55">
        <w:rPr>
          <w:rFonts w:asciiTheme="majorBidi" w:hAnsiTheme="majorBidi" w:cstheme="majorBidi"/>
          <w:color w:val="1C1E29"/>
        </w:rPr>
        <w:t xml:space="preserve">The development of </w:t>
      </w:r>
      <w:r>
        <w:rPr>
          <w:rFonts w:asciiTheme="majorBidi" w:hAnsiTheme="majorBidi" w:cstheme="majorBidi"/>
          <w:color w:val="1C1E29"/>
        </w:rPr>
        <w:t>m</w:t>
      </w:r>
      <w:r w:rsidRPr="00FE2A55">
        <w:rPr>
          <w:rFonts w:asciiTheme="majorBidi" w:hAnsiTheme="majorBidi" w:cstheme="majorBidi"/>
          <w:color w:val="1C1E29"/>
        </w:rPr>
        <w:t xml:space="preserve">orphine analgesic tolerance was examined using the </w:t>
      </w:r>
      <w:bookmarkStart w:id="13" w:name="_Hlk32166850"/>
      <w:r w:rsidRPr="00FE2A55">
        <w:rPr>
          <w:rFonts w:asciiTheme="majorBidi" w:hAnsiTheme="majorBidi" w:cstheme="majorBidi"/>
          <w:color w:val="1C1E29"/>
        </w:rPr>
        <w:t xml:space="preserve">tail-flick </w:t>
      </w:r>
      <w:bookmarkEnd w:id="13"/>
      <w:r w:rsidRPr="00FE2A55">
        <w:rPr>
          <w:rFonts w:asciiTheme="majorBidi" w:hAnsiTheme="majorBidi" w:cstheme="majorBidi"/>
          <w:color w:val="1C1E29"/>
        </w:rPr>
        <w:t xml:space="preserve">test. </w:t>
      </w:r>
      <w:r>
        <w:rPr>
          <w:rFonts w:asciiTheme="majorBidi" w:hAnsiTheme="majorBidi" w:cstheme="majorBidi"/>
          <w:color w:val="1C1E29"/>
        </w:rPr>
        <w:t>R</w:t>
      </w:r>
      <w:r w:rsidRPr="00FE2A55">
        <w:rPr>
          <w:rFonts w:asciiTheme="majorBidi" w:hAnsiTheme="majorBidi" w:cstheme="majorBidi"/>
          <w:color w:val="1C1E29"/>
        </w:rPr>
        <w:t>ats were placed on the tail-flick apparatus</w:t>
      </w:r>
      <w:r w:rsidRPr="001003EC">
        <w:rPr>
          <w:rFonts w:asciiTheme="majorBidi" w:hAnsiTheme="majorBidi" w:cstheme="majorBidi"/>
          <w:color w:val="1C1E29"/>
        </w:rPr>
        <w:t xml:space="preserve"> </w:t>
      </w:r>
      <w:r w:rsidRPr="00FE2A55">
        <w:rPr>
          <w:rFonts w:asciiTheme="majorBidi" w:hAnsiTheme="majorBidi" w:cstheme="majorBidi"/>
          <w:color w:val="1C1E29"/>
        </w:rPr>
        <w:t>before the injection of Morphine</w:t>
      </w:r>
      <w:r w:rsidRPr="001003EC">
        <w:rPr>
          <w:rFonts w:asciiTheme="majorBidi" w:hAnsiTheme="majorBidi" w:cstheme="majorBidi"/>
          <w:color w:val="1C1E29"/>
        </w:rPr>
        <w:t xml:space="preserve"> </w:t>
      </w:r>
      <w:r>
        <w:rPr>
          <w:rFonts w:asciiTheme="majorBidi" w:hAnsiTheme="majorBidi" w:cstheme="majorBidi"/>
          <w:color w:val="1C1E29"/>
        </w:rPr>
        <w:t>o</w:t>
      </w:r>
      <w:r w:rsidRPr="00FE2A55">
        <w:rPr>
          <w:rFonts w:asciiTheme="majorBidi" w:hAnsiTheme="majorBidi" w:cstheme="majorBidi"/>
          <w:color w:val="1C1E29"/>
        </w:rPr>
        <w:t>n days 1, 5</w:t>
      </w:r>
      <w:r>
        <w:rPr>
          <w:rFonts w:asciiTheme="majorBidi" w:hAnsiTheme="majorBidi" w:cstheme="majorBidi"/>
          <w:color w:val="1C1E29"/>
        </w:rPr>
        <w:t>,</w:t>
      </w:r>
      <w:r w:rsidRPr="00FE2A55">
        <w:rPr>
          <w:rFonts w:asciiTheme="majorBidi" w:hAnsiTheme="majorBidi" w:cstheme="majorBidi"/>
          <w:color w:val="1C1E29"/>
        </w:rPr>
        <w:t xml:space="preserve"> and 8. Radiant heat was administered to the caudal end of the tail. </w:t>
      </w:r>
      <w:r>
        <w:rPr>
          <w:rFonts w:asciiTheme="majorBidi" w:hAnsiTheme="majorBidi" w:cstheme="majorBidi"/>
          <w:color w:val="1C1E29"/>
        </w:rPr>
        <w:t>A c</w:t>
      </w:r>
      <w:r w:rsidRPr="00FE2A55">
        <w:rPr>
          <w:rFonts w:asciiTheme="majorBidi" w:hAnsiTheme="majorBidi" w:cstheme="majorBidi"/>
          <w:color w:val="1C1E29"/>
        </w:rPr>
        <w:t xml:space="preserve">ut off time of 20 seconds was established to minimize tissue damage. In each session, 3 trials were </w:t>
      </w:r>
      <w:r>
        <w:rPr>
          <w:rFonts w:asciiTheme="majorBidi" w:hAnsiTheme="majorBidi" w:cstheme="majorBidi"/>
          <w:color w:val="1C1E29"/>
        </w:rPr>
        <w:t>conducted</w:t>
      </w:r>
      <w:r w:rsidRPr="00FE2A55">
        <w:rPr>
          <w:rFonts w:asciiTheme="majorBidi" w:hAnsiTheme="majorBidi" w:cstheme="majorBidi"/>
          <w:color w:val="1C1E29"/>
        </w:rPr>
        <w:t xml:space="preserve"> with 3 minutes in between </w:t>
      </w:r>
      <w:r>
        <w:rPr>
          <w:rFonts w:asciiTheme="majorBidi" w:hAnsiTheme="majorBidi" w:cstheme="majorBidi"/>
          <w:color w:val="1C1E29"/>
        </w:rPr>
        <w:t>each trial</w:t>
      </w:r>
      <w:r w:rsidRPr="00FE2A55">
        <w:rPr>
          <w:rFonts w:asciiTheme="majorBidi" w:hAnsiTheme="majorBidi" w:cstheme="majorBidi"/>
          <w:color w:val="1C1E29"/>
        </w:rPr>
        <w:t xml:space="preserve">. The mean tail-flick latencies (TL) of </w:t>
      </w:r>
      <w:r>
        <w:rPr>
          <w:rFonts w:asciiTheme="majorBidi" w:hAnsiTheme="majorBidi" w:cstheme="majorBidi"/>
          <w:color w:val="1C1E29"/>
        </w:rPr>
        <w:t xml:space="preserve">the </w:t>
      </w:r>
      <w:r w:rsidRPr="00FE2A55">
        <w:rPr>
          <w:rFonts w:asciiTheme="majorBidi" w:hAnsiTheme="majorBidi" w:cstheme="majorBidi"/>
          <w:color w:val="1C1E29"/>
        </w:rPr>
        <w:t>3 trials was set as the baseline latency (BL).</w:t>
      </w:r>
    </w:p>
    <w:p w14:paraId="56780025" w14:textId="77777777" w:rsidR="008439C3" w:rsidRPr="00FE2A55"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FE2A55">
        <w:rPr>
          <w:rFonts w:asciiTheme="majorBidi" w:hAnsiTheme="majorBidi" w:cstheme="majorBidi"/>
          <w:color w:val="1C1E29"/>
        </w:rPr>
        <w:t xml:space="preserve">For acquiring absolute tail-flick latency and percentage of maximum possible analgesic effect (%MPAE) (%MPAE=[(TL-BL)/(20-BL)]) of </w:t>
      </w:r>
      <w:r>
        <w:rPr>
          <w:rFonts w:asciiTheme="majorBidi" w:hAnsiTheme="majorBidi" w:cstheme="majorBidi"/>
          <w:color w:val="1C1E29"/>
        </w:rPr>
        <w:t>m</w:t>
      </w:r>
      <w:r w:rsidRPr="00FE2A55">
        <w:rPr>
          <w:rFonts w:asciiTheme="majorBidi" w:hAnsiTheme="majorBidi" w:cstheme="majorBidi"/>
          <w:color w:val="1C1E29"/>
        </w:rPr>
        <w:t>orphine, a single measurement of tail-flick latency was made at 30, 60, 120,180 and 240 minutes after the injection of morphine.</w:t>
      </w:r>
    </w:p>
    <w:p w14:paraId="54AA74B7" w14:textId="77777777" w:rsidR="008439C3" w:rsidRPr="00FE2A55" w:rsidRDefault="008439C3" w:rsidP="008439C3">
      <w:pPr>
        <w:pStyle w:val="NormalWeb"/>
        <w:spacing w:before="0" w:beforeAutospacing="0" w:after="0" w:afterAutospacing="0" w:line="480" w:lineRule="auto"/>
        <w:jc w:val="both"/>
        <w:rPr>
          <w:rFonts w:asciiTheme="majorBidi" w:hAnsiTheme="majorBidi" w:cstheme="majorBidi"/>
          <w:color w:val="1C1E29"/>
        </w:rPr>
      </w:pPr>
    </w:p>
    <w:p w14:paraId="2A4C7230" w14:textId="77777777" w:rsidR="008439C3" w:rsidRPr="00FE2A55" w:rsidRDefault="008439C3" w:rsidP="008439C3">
      <w:pPr>
        <w:pStyle w:val="NormalWeb"/>
        <w:spacing w:before="0" w:beforeAutospacing="0" w:after="0" w:afterAutospacing="0" w:line="480" w:lineRule="auto"/>
        <w:jc w:val="both"/>
        <w:rPr>
          <w:rFonts w:asciiTheme="majorBidi" w:hAnsiTheme="majorBidi" w:cstheme="majorBidi"/>
          <w:color w:val="1C1E29"/>
        </w:rPr>
      </w:pPr>
      <w:r>
        <w:rPr>
          <w:rStyle w:val="Strong"/>
          <w:rFonts w:asciiTheme="majorBidi" w:hAnsiTheme="majorBidi" w:cstheme="majorBidi"/>
          <w:color w:val="1C1E29"/>
        </w:rPr>
        <w:t>5</w:t>
      </w:r>
      <w:r w:rsidRPr="00FE2A55">
        <w:rPr>
          <w:rStyle w:val="Strong"/>
          <w:rFonts w:asciiTheme="majorBidi" w:hAnsiTheme="majorBidi" w:cstheme="majorBidi"/>
          <w:color w:val="1C1E29"/>
        </w:rPr>
        <w:t>.4. Western blotting</w:t>
      </w:r>
    </w:p>
    <w:p w14:paraId="51C56FE2" w14:textId="77777777" w:rsidR="008439C3" w:rsidRPr="00FE2A55"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FE2A55">
        <w:rPr>
          <w:rFonts w:asciiTheme="majorBidi" w:hAnsiTheme="majorBidi" w:cstheme="majorBidi"/>
          <w:color w:val="1C1E29"/>
        </w:rPr>
        <w:t> On day</w:t>
      </w:r>
      <w:r>
        <w:rPr>
          <w:rFonts w:asciiTheme="majorBidi" w:hAnsiTheme="majorBidi" w:cstheme="majorBidi"/>
          <w:color w:val="1C1E29"/>
        </w:rPr>
        <w:t>s</w:t>
      </w:r>
      <w:r w:rsidRPr="00FE2A55">
        <w:rPr>
          <w:rFonts w:asciiTheme="majorBidi" w:hAnsiTheme="majorBidi" w:cstheme="majorBidi"/>
          <w:color w:val="1C1E29"/>
        </w:rPr>
        <w:t xml:space="preserve"> 8</w:t>
      </w:r>
      <w:r>
        <w:rPr>
          <w:rFonts w:asciiTheme="majorBidi" w:hAnsiTheme="majorBidi" w:cstheme="majorBidi"/>
          <w:color w:val="1C1E29"/>
        </w:rPr>
        <w:t xml:space="preserve"> and 10, t</w:t>
      </w:r>
      <w:r w:rsidRPr="00FE2A55">
        <w:rPr>
          <w:rFonts w:asciiTheme="majorBidi" w:hAnsiTheme="majorBidi" w:cstheme="majorBidi"/>
          <w:color w:val="1C1E29"/>
        </w:rPr>
        <w:t xml:space="preserve">hree rats from all groups </w:t>
      </w:r>
      <w:r>
        <w:rPr>
          <w:rFonts w:asciiTheme="majorBidi" w:hAnsiTheme="majorBidi" w:cstheme="majorBidi"/>
          <w:color w:val="1C1E29"/>
        </w:rPr>
        <w:t>were sacrificed</w:t>
      </w:r>
      <w:r w:rsidRPr="00FE2A55">
        <w:rPr>
          <w:rFonts w:asciiTheme="majorBidi" w:hAnsiTheme="majorBidi" w:cstheme="majorBidi"/>
          <w:color w:val="1C1E29"/>
        </w:rPr>
        <w:t>. Western blotting was performed on lumbar segments of spinal cord homogenates to determine BDNF </w:t>
      </w:r>
      <w:r>
        <w:rPr>
          <w:rFonts w:asciiTheme="majorBidi" w:hAnsiTheme="majorBidi" w:cstheme="majorBidi"/>
          <w:color w:val="1C1E29"/>
        </w:rPr>
        <w:t>protein</w:t>
      </w:r>
      <w:r w:rsidRPr="003F551F">
        <w:rPr>
          <w:rFonts w:asciiTheme="majorBidi" w:hAnsiTheme="majorBidi" w:cstheme="majorBidi"/>
        </w:rPr>
        <w:t> </w:t>
      </w:r>
      <w:r w:rsidRPr="00FE2A55">
        <w:rPr>
          <w:rFonts w:asciiTheme="majorBidi" w:hAnsiTheme="majorBidi" w:cstheme="majorBidi"/>
          <w:color w:val="1C1E29"/>
        </w:rPr>
        <w:t xml:space="preserve">expression levels. The whole lumbar segment of the spinal cord was homogenized in lysis buffer, and the total protein extract was obtained by </w:t>
      </w:r>
      <w:bookmarkStart w:id="14" w:name="_Hlk32166955"/>
      <w:r w:rsidRPr="00FE2A55">
        <w:rPr>
          <w:rFonts w:asciiTheme="majorBidi" w:hAnsiTheme="majorBidi" w:cstheme="majorBidi"/>
          <w:color w:val="1C1E29"/>
        </w:rPr>
        <w:t>centrifug</w:t>
      </w:r>
      <w:bookmarkEnd w:id="14"/>
      <w:r w:rsidRPr="00FE2A55">
        <w:rPr>
          <w:rFonts w:asciiTheme="majorBidi" w:hAnsiTheme="majorBidi" w:cstheme="majorBidi"/>
          <w:color w:val="1C1E29"/>
        </w:rPr>
        <w:t>ation at 13,000</w:t>
      </w:r>
      <w:r w:rsidRPr="00FE2A55">
        <w:rPr>
          <w:rStyle w:val="Emphasis"/>
          <w:rFonts w:asciiTheme="majorBidi" w:hAnsiTheme="majorBidi" w:cstheme="majorBidi"/>
          <w:color w:val="1C1E29"/>
        </w:rPr>
        <w:t>g </w:t>
      </w:r>
      <w:r w:rsidRPr="00FE2A55">
        <w:rPr>
          <w:rFonts w:asciiTheme="majorBidi" w:hAnsiTheme="majorBidi" w:cstheme="majorBidi"/>
          <w:color w:val="1C1E29"/>
        </w:rPr>
        <w:t xml:space="preserve">for 40 min at 4 °C. Protein concentration was determined by Bradford assay, and equivalent protein amounts of each sample were separated </w:t>
      </w:r>
      <w:r w:rsidRPr="00AE6DFE">
        <w:rPr>
          <w:rFonts w:asciiTheme="majorBidi" w:hAnsiTheme="majorBidi" w:cstheme="majorBidi"/>
        </w:rPr>
        <w:t>using</w:t>
      </w:r>
      <w:r>
        <w:rPr>
          <w:rFonts w:asciiTheme="majorBidi" w:hAnsiTheme="majorBidi" w:cstheme="majorBidi"/>
        </w:rPr>
        <w:t xml:space="preserve"> dodecyl sulfate polyacrylamide</w:t>
      </w:r>
      <w:r w:rsidRPr="00AE6DFE">
        <w:rPr>
          <w:rFonts w:asciiTheme="majorBidi" w:hAnsiTheme="majorBidi" w:cstheme="majorBidi"/>
        </w:rPr>
        <w:t> </w:t>
      </w:r>
      <w:r>
        <w:rPr>
          <w:rFonts w:asciiTheme="majorBidi" w:hAnsiTheme="majorBidi" w:cstheme="majorBidi"/>
        </w:rPr>
        <w:t>gel electrophoresis</w:t>
      </w:r>
      <w:r w:rsidRPr="00AE6DFE">
        <w:rPr>
          <w:rFonts w:asciiTheme="majorBidi" w:hAnsiTheme="majorBidi" w:cstheme="majorBidi"/>
        </w:rPr>
        <w:t> </w:t>
      </w:r>
      <w:r w:rsidRPr="00FE2A55">
        <w:rPr>
          <w:rFonts w:asciiTheme="majorBidi" w:hAnsiTheme="majorBidi" w:cstheme="majorBidi"/>
          <w:color w:val="1C1E29"/>
        </w:rPr>
        <w:t xml:space="preserve">sodium dodecyl sulfate page (SDS-PAGE). The proteins were transferred onto </w:t>
      </w:r>
      <w:bookmarkStart w:id="15" w:name="_Hlk32167018"/>
      <w:r w:rsidRPr="00FE2A55">
        <w:rPr>
          <w:rFonts w:asciiTheme="majorBidi" w:hAnsiTheme="majorBidi" w:cstheme="majorBidi"/>
          <w:color w:val="1C1E29"/>
        </w:rPr>
        <w:t xml:space="preserve">polyvinylidene difluoride (PVDF) membranes </w:t>
      </w:r>
      <w:bookmarkEnd w:id="15"/>
      <w:r w:rsidRPr="00FE2A55">
        <w:rPr>
          <w:rFonts w:asciiTheme="majorBidi" w:hAnsiTheme="majorBidi" w:cstheme="majorBidi"/>
          <w:color w:val="1C1E29"/>
        </w:rPr>
        <w:t xml:space="preserve">using a </w:t>
      </w:r>
      <w:bookmarkStart w:id="16" w:name="_Hlk32167041"/>
      <w:r w:rsidRPr="00FE2A55">
        <w:rPr>
          <w:rFonts w:asciiTheme="majorBidi" w:hAnsiTheme="majorBidi" w:cstheme="majorBidi"/>
          <w:color w:val="1C1E29"/>
        </w:rPr>
        <w:t>Bio-Rad immunoblotting apparatus</w:t>
      </w:r>
      <w:bookmarkEnd w:id="16"/>
      <w:r w:rsidRPr="00FE2A55">
        <w:rPr>
          <w:rFonts w:asciiTheme="majorBidi" w:hAnsiTheme="majorBidi" w:cstheme="majorBidi"/>
          <w:color w:val="1C1E29"/>
        </w:rPr>
        <w:t>. Afterward, to block non-specific binding sites, membranes were incubated in blocking buffer bovine serum albumin (BSA 5%) for 80 minutes. Membranes were then incubated overnight to block non-specific binding sites</w:t>
      </w:r>
      <w:r>
        <w:rPr>
          <w:rFonts w:asciiTheme="majorBidi" w:hAnsiTheme="majorBidi" w:cstheme="majorBidi"/>
          <w:color w:val="1C1E29"/>
        </w:rPr>
        <w:t>;</w:t>
      </w:r>
      <w:r w:rsidRPr="00FE2A55">
        <w:rPr>
          <w:rFonts w:asciiTheme="majorBidi" w:hAnsiTheme="majorBidi" w:cstheme="majorBidi"/>
          <w:color w:val="1C1E29"/>
        </w:rPr>
        <w:t xml:space="preserve"> membranes were incubated in blocking buffer (BSA 5%) for 80 minutes. Membranes were then incubated overnight with the BDNF antibody (AB203573,1:5000). The next day, blots were washed three times with 0.1% Tris Buffered Saline Tween (TBST) 20 and Tris Buffered Saline (TBS) each for 10 minutes, and then incubated </w:t>
      </w:r>
      <w:r w:rsidRPr="00AE6DFE">
        <w:rPr>
          <w:rFonts w:asciiTheme="majorBidi" w:hAnsiTheme="majorBidi" w:cstheme="majorBidi"/>
        </w:rPr>
        <w:t>with </w:t>
      </w:r>
      <w:r>
        <w:rPr>
          <w:rFonts w:asciiTheme="majorBidi" w:hAnsiTheme="majorBidi" w:cstheme="majorBidi"/>
        </w:rPr>
        <w:t>horseradish</w:t>
      </w:r>
      <w:r w:rsidRPr="003F551F">
        <w:rPr>
          <w:rFonts w:asciiTheme="majorBidi" w:hAnsiTheme="majorBidi" w:cstheme="majorBidi"/>
        </w:rPr>
        <w:t> peroxidase</w:t>
      </w:r>
      <w:r w:rsidRPr="00FE2A55">
        <w:rPr>
          <w:rFonts w:asciiTheme="majorBidi" w:hAnsiTheme="majorBidi" w:cstheme="majorBidi"/>
          <w:color w:val="1C1E29"/>
        </w:rPr>
        <w:t>-conjugated secondary antibody in blocking buffer (SC-516102,1:10000) for 85 minutes</w:t>
      </w:r>
      <w:r w:rsidRPr="00AE6DFE">
        <w:rPr>
          <w:rFonts w:asciiTheme="majorBidi" w:hAnsiTheme="majorBidi" w:cstheme="majorBidi"/>
        </w:rPr>
        <w:t>. </w:t>
      </w:r>
      <w:r>
        <w:rPr>
          <w:rFonts w:asciiTheme="majorBidi" w:hAnsiTheme="majorBidi" w:cstheme="majorBidi"/>
        </w:rPr>
        <w:t xml:space="preserve">After washing the blots </w:t>
      </w:r>
      <w:r>
        <w:rPr>
          <w:rFonts w:asciiTheme="majorBidi" w:hAnsiTheme="majorBidi" w:cstheme="majorBidi"/>
        </w:rPr>
        <w:lastRenderedPageBreak/>
        <w:t xml:space="preserve">three times with TBST, protein complexes </w:t>
      </w:r>
      <w:r w:rsidRPr="00FE2A55">
        <w:rPr>
          <w:rFonts w:asciiTheme="majorBidi" w:hAnsiTheme="majorBidi" w:cstheme="majorBidi"/>
          <w:color w:val="1C1E29"/>
        </w:rPr>
        <w:t xml:space="preserve">were visualized using </w:t>
      </w:r>
      <w:bookmarkStart w:id="17" w:name="_Hlk32167104"/>
      <w:r w:rsidRPr="00AE6DFE">
        <w:rPr>
          <w:rFonts w:asciiTheme="majorBidi" w:hAnsiTheme="majorBidi" w:cstheme="majorBidi"/>
        </w:rPr>
        <w:t>ECL </w:t>
      </w:r>
      <w:r>
        <w:rPr>
          <w:rFonts w:asciiTheme="majorBidi" w:hAnsiTheme="majorBidi" w:cstheme="majorBidi"/>
        </w:rPr>
        <w:t>chemiluminescence</w:t>
      </w:r>
      <w:bookmarkEnd w:id="17"/>
      <w:r>
        <w:rPr>
          <w:rFonts w:asciiTheme="majorBidi" w:hAnsiTheme="majorBidi" w:cstheme="majorBidi"/>
        </w:rPr>
        <w:t xml:space="preserve"> </w:t>
      </w:r>
      <w:r w:rsidRPr="00925FE1">
        <w:rPr>
          <w:rFonts w:asciiTheme="majorBidi" w:hAnsiTheme="majorBidi" w:cstheme="majorBidi"/>
        </w:rPr>
        <w:t>(</w:t>
      </w:r>
      <w:proofErr w:type="spellStart"/>
      <w:r w:rsidRPr="00925FE1">
        <w:rPr>
          <w:rFonts w:asciiTheme="majorBidi" w:hAnsiTheme="majorBidi" w:cstheme="majorBidi"/>
        </w:rPr>
        <w:t>Amesrham</w:t>
      </w:r>
      <w:proofErr w:type="spellEnd"/>
      <w:r w:rsidRPr="00925FE1">
        <w:rPr>
          <w:rFonts w:asciiTheme="majorBidi" w:hAnsiTheme="majorBidi" w:cstheme="majorBidi"/>
        </w:rPr>
        <w:t>).</w:t>
      </w:r>
      <w:r w:rsidRPr="003F551F">
        <w:rPr>
          <w:rFonts w:asciiTheme="majorBidi" w:hAnsiTheme="majorBidi" w:cstheme="majorBidi"/>
        </w:rPr>
        <w:t xml:space="preserve"> </w:t>
      </w:r>
      <w:r w:rsidRPr="00FE2A55">
        <w:rPr>
          <w:rFonts w:asciiTheme="majorBidi" w:hAnsiTheme="majorBidi" w:cstheme="majorBidi"/>
          <w:color w:val="1C1E29"/>
        </w:rPr>
        <w:t xml:space="preserve">After scanning the X-ray films, the protein expression was quantified and analyzed by ImageJ 1.44 NIH software. Data were represented as the ratio </w:t>
      </w:r>
      <w:r w:rsidRPr="003F551F">
        <w:rPr>
          <w:rFonts w:asciiTheme="majorBidi" w:hAnsiTheme="majorBidi" w:cstheme="majorBidi"/>
        </w:rPr>
        <w:t>of the density of BDNF bands to β-actin bands.</w:t>
      </w:r>
      <w:r w:rsidRPr="00FE2A55">
        <w:rPr>
          <w:rFonts w:asciiTheme="majorBidi" w:hAnsiTheme="majorBidi" w:cstheme="majorBidi"/>
          <w:color w:val="1C1E29"/>
        </w:rPr>
        <w:t> </w:t>
      </w:r>
    </w:p>
    <w:p w14:paraId="1E61FFC7" w14:textId="77777777" w:rsidR="008439C3" w:rsidRPr="00FE2A55" w:rsidRDefault="008439C3" w:rsidP="008439C3">
      <w:pPr>
        <w:pStyle w:val="NormalWeb"/>
        <w:spacing w:before="0" w:beforeAutospacing="0" w:after="0" w:afterAutospacing="0" w:line="480" w:lineRule="auto"/>
        <w:jc w:val="both"/>
        <w:rPr>
          <w:rFonts w:asciiTheme="majorBidi" w:hAnsiTheme="majorBidi" w:cstheme="majorBidi"/>
          <w:color w:val="1C1E29"/>
        </w:rPr>
      </w:pPr>
      <w:r>
        <w:rPr>
          <w:rStyle w:val="Strong"/>
          <w:rFonts w:asciiTheme="majorBidi" w:hAnsiTheme="majorBidi" w:cstheme="majorBidi"/>
          <w:color w:val="1C1E29"/>
        </w:rPr>
        <w:t>5</w:t>
      </w:r>
      <w:r w:rsidRPr="00FE2A55">
        <w:rPr>
          <w:rStyle w:val="Strong"/>
          <w:rFonts w:asciiTheme="majorBidi" w:hAnsiTheme="majorBidi" w:cstheme="majorBidi"/>
          <w:color w:val="1C1E29"/>
        </w:rPr>
        <w:t>.5. Immunohistochemistry analysis</w:t>
      </w:r>
    </w:p>
    <w:p w14:paraId="309E447E" w14:textId="77777777" w:rsidR="008439C3"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FE2A55">
        <w:rPr>
          <w:rFonts w:asciiTheme="majorBidi" w:hAnsiTheme="majorBidi" w:cstheme="majorBidi"/>
          <w:color w:val="1C1E29"/>
        </w:rPr>
        <w:t xml:space="preserve">The expression of KCC2 in the lumbar segments of the spinal cord was assessed by immunohistochemistry analysis. On day 10 </w:t>
      </w:r>
      <w:r>
        <w:rPr>
          <w:rFonts w:asciiTheme="majorBidi" w:hAnsiTheme="majorBidi" w:cstheme="majorBidi"/>
          <w:color w:val="1C1E29"/>
        </w:rPr>
        <w:t>t</w:t>
      </w:r>
      <w:r w:rsidRPr="00FE2A55">
        <w:rPr>
          <w:rFonts w:asciiTheme="majorBidi" w:hAnsiTheme="majorBidi" w:cstheme="majorBidi"/>
          <w:color w:val="1C1E29"/>
        </w:rPr>
        <w:t xml:space="preserve">hree rats from all groups were deeply anesthetized by ketamine (10%) and xylazine (2%) </w:t>
      </w:r>
      <w:bookmarkStart w:id="18" w:name="_Hlk32106605"/>
      <w:r w:rsidRPr="00FE2A55">
        <w:rPr>
          <w:rFonts w:asciiTheme="majorBidi" w:hAnsiTheme="majorBidi" w:cstheme="majorBidi"/>
          <w:color w:val="1C1E29"/>
        </w:rPr>
        <w:t>and trans cordially perfused with phosphate-buffered saline</w:t>
      </w:r>
      <w:bookmarkEnd w:id="18"/>
      <w:r w:rsidRPr="00FE2A55">
        <w:rPr>
          <w:rFonts w:asciiTheme="majorBidi" w:hAnsiTheme="majorBidi" w:cstheme="majorBidi"/>
          <w:color w:val="1C1E29"/>
        </w:rPr>
        <w:t xml:space="preserve"> (PBS), followed by freshly prepared 4% phosphate-buffered paraformaldehyde (pH 7.4). </w:t>
      </w:r>
      <w:bookmarkStart w:id="19" w:name="_Hlk32106671"/>
      <w:r w:rsidRPr="00FE2A55">
        <w:rPr>
          <w:rFonts w:asciiTheme="majorBidi" w:hAnsiTheme="majorBidi" w:cstheme="majorBidi"/>
          <w:color w:val="1C1E29"/>
        </w:rPr>
        <w:t xml:space="preserve">Spinal cords were isolated </w:t>
      </w:r>
      <w:bookmarkEnd w:id="19"/>
      <w:r w:rsidRPr="00FE2A55">
        <w:rPr>
          <w:rFonts w:asciiTheme="majorBidi" w:hAnsiTheme="majorBidi" w:cstheme="majorBidi"/>
          <w:color w:val="1C1E29"/>
        </w:rPr>
        <w:t xml:space="preserve">and lumbar segments transected after cardiac perfusion with 4% paraformaldehyde. Next, the </w:t>
      </w:r>
      <w:bookmarkStart w:id="20" w:name="_Hlk32104403"/>
      <w:r w:rsidRPr="00FE2A55">
        <w:rPr>
          <w:rFonts w:asciiTheme="majorBidi" w:hAnsiTheme="majorBidi" w:cstheme="majorBidi"/>
          <w:color w:val="1C1E29"/>
        </w:rPr>
        <w:t xml:space="preserve">lumbar segments of </w:t>
      </w:r>
      <w:r>
        <w:rPr>
          <w:rFonts w:asciiTheme="majorBidi" w:hAnsiTheme="majorBidi" w:cstheme="majorBidi"/>
          <w:color w:val="1C1E29"/>
        </w:rPr>
        <w:t xml:space="preserve">the </w:t>
      </w:r>
      <w:r w:rsidRPr="00FE2A55">
        <w:rPr>
          <w:rFonts w:asciiTheme="majorBidi" w:hAnsiTheme="majorBidi" w:cstheme="majorBidi"/>
          <w:color w:val="1C1E29"/>
        </w:rPr>
        <w:t xml:space="preserve">spinal cords were removed </w:t>
      </w:r>
      <w:bookmarkEnd w:id="20"/>
      <w:r w:rsidRPr="00FE2A55">
        <w:rPr>
          <w:rFonts w:asciiTheme="majorBidi" w:hAnsiTheme="majorBidi" w:cstheme="majorBidi"/>
          <w:color w:val="1C1E29"/>
        </w:rPr>
        <w:t xml:space="preserve">and post-fixed in 4% paraformaldehyde for 48 hours. Lateral sections with </w:t>
      </w:r>
      <w:r>
        <w:rPr>
          <w:rFonts w:asciiTheme="majorBidi" w:hAnsiTheme="majorBidi" w:cstheme="majorBidi"/>
          <w:color w:val="1C1E29"/>
        </w:rPr>
        <w:t xml:space="preserve">a </w:t>
      </w:r>
      <w:r w:rsidRPr="00FE2A55">
        <w:rPr>
          <w:rFonts w:asciiTheme="majorBidi" w:hAnsiTheme="majorBidi" w:cstheme="majorBidi"/>
          <w:color w:val="1C1E29"/>
        </w:rPr>
        <w:t xml:space="preserve">5 µm thickness from lumbar segments of the spinal cords were </w:t>
      </w:r>
      <w:r w:rsidRPr="003F551F">
        <w:rPr>
          <w:rFonts w:asciiTheme="majorBidi" w:hAnsiTheme="majorBidi" w:cstheme="majorBidi"/>
        </w:rPr>
        <w:t xml:space="preserve">prepared using </w:t>
      </w:r>
      <w:r w:rsidRPr="00AE6DFE">
        <w:rPr>
          <w:rFonts w:asciiTheme="majorBidi" w:hAnsiTheme="majorBidi" w:cstheme="majorBidi"/>
        </w:rPr>
        <w:t>a </w:t>
      </w:r>
      <w:r>
        <w:rPr>
          <w:rFonts w:asciiTheme="majorBidi" w:hAnsiTheme="majorBidi" w:cstheme="majorBidi"/>
        </w:rPr>
        <w:t>microtome</w:t>
      </w:r>
      <w:r w:rsidRPr="003F551F">
        <w:rPr>
          <w:rFonts w:asciiTheme="majorBidi" w:hAnsiTheme="majorBidi" w:cstheme="majorBidi"/>
        </w:rPr>
        <w:t> rotatory apparatus</w:t>
      </w:r>
      <w:r w:rsidRPr="00FE2A55">
        <w:rPr>
          <w:rFonts w:asciiTheme="majorBidi" w:hAnsiTheme="majorBidi" w:cstheme="majorBidi"/>
          <w:color w:val="1C1E29"/>
        </w:rPr>
        <w:t xml:space="preserve">. Immunohistochemical analysis of KCC2 was performed on paraffin-embedded sections. </w:t>
      </w:r>
      <w:r>
        <w:rPr>
          <w:rFonts w:asciiTheme="majorBidi" w:hAnsiTheme="majorBidi" w:cstheme="majorBidi"/>
          <w:color w:val="1C1E29"/>
        </w:rPr>
        <w:t>F</w:t>
      </w:r>
      <w:r w:rsidRPr="00FE2A55">
        <w:rPr>
          <w:rFonts w:asciiTheme="majorBidi" w:hAnsiTheme="majorBidi" w:cstheme="majorBidi"/>
          <w:color w:val="1C1E29"/>
        </w:rPr>
        <w:t xml:space="preserve">irst, sections were placed in the oven for 20 minutes, then </w:t>
      </w:r>
      <w:r w:rsidRPr="003F551F">
        <w:rPr>
          <w:rFonts w:asciiTheme="majorBidi" w:hAnsiTheme="majorBidi" w:cstheme="majorBidi"/>
        </w:rPr>
        <w:t xml:space="preserve">deparaffinized </w:t>
      </w:r>
      <w:r w:rsidRPr="00AE6DFE">
        <w:rPr>
          <w:rFonts w:asciiTheme="majorBidi" w:hAnsiTheme="majorBidi" w:cstheme="majorBidi"/>
        </w:rPr>
        <w:t>in </w:t>
      </w:r>
      <w:r>
        <w:rPr>
          <w:rFonts w:asciiTheme="majorBidi" w:hAnsiTheme="majorBidi" w:cstheme="majorBidi"/>
        </w:rPr>
        <w:t>xylene</w:t>
      </w:r>
      <w:r w:rsidRPr="003F551F">
        <w:rPr>
          <w:rFonts w:asciiTheme="majorBidi" w:hAnsiTheme="majorBidi" w:cstheme="majorBidi"/>
        </w:rPr>
        <w:t> and rehydrated</w:t>
      </w:r>
      <w:r w:rsidRPr="00FE2A55">
        <w:rPr>
          <w:rFonts w:asciiTheme="majorBidi" w:hAnsiTheme="majorBidi" w:cstheme="majorBidi"/>
          <w:color w:val="1C1E29"/>
        </w:rPr>
        <w:t xml:space="preserve">. Next, sections were pacified in </w:t>
      </w:r>
      <w:r w:rsidRPr="003F551F">
        <w:rPr>
          <w:rFonts w:asciiTheme="majorBidi" w:hAnsiTheme="majorBidi" w:cstheme="majorBidi"/>
        </w:rPr>
        <w:t>3% </w:t>
      </w:r>
      <w:r>
        <w:rPr>
          <w:rFonts w:asciiTheme="majorBidi" w:hAnsiTheme="majorBidi" w:cstheme="majorBidi"/>
        </w:rPr>
        <w:t>hydrogen peroxide</w:t>
      </w:r>
      <w:r w:rsidRPr="00AE6DFE">
        <w:rPr>
          <w:rFonts w:asciiTheme="majorBidi" w:hAnsiTheme="majorBidi" w:cstheme="majorBidi"/>
        </w:rPr>
        <w:t> (</w:t>
      </w:r>
      <w:r w:rsidRPr="00FE2A55">
        <w:rPr>
          <w:rFonts w:asciiTheme="majorBidi" w:hAnsiTheme="majorBidi" w:cstheme="majorBidi"/>
          <w:color w:val="1C1E29"/>
        </w:rPr>
        <w:t xml:space="preserve">H2O2) and then exposed to heat mediated antigen retrieval </w:t>
      </w:r>
      <w:r w:rsidRPr="00AE6DFE">
        <w:rPr>
          <w:rFonts w:asciiTheme="majorBidi" w:hAnsiTheme="majorBidi" w:cstheme="majorBidi"/>
        </w:rPr>
        <w:t>using </w:t>
      </w:r>
      <w:r>
        <w:rPr>
          <w:rFonts w:asciiTheme="majorBidi" w:hAnsiTheme="majorBidi" w:cstheme="majorBidi"/>
        </w:rPr>
        <w:t>citrate</w:t>
      </w:r>
      <w:r w:rsidRPr="00AE6DFE">
        <w:rPr>
          <w:rFonts w:asciiTheme="majorBidi" w:hAnsiTheme="majorBidi" w:cstheme="majorBidi"/>
        </w:rPr>
        <w:t xml:space="preserve"> buffer </w:t>
      </w:r>
      <w:r w:rsidRPr="003F551F">
        <w:rPr>
          <w:rFonts w:asciiTheme="majorBidi" w:hAnsiTheme="majorBidi" w:cstheme="majorBidi"/>
        </w:rPr>
        <w:t xml:space="preserve">(pH </w:t>
      </w:r>
      <w:r w:rsidRPr="00FE2A55">
        <w:rPr>
          <w:rFonts w:asciiTheme="majorBidi" w:hAnsiTheme="majorBidi" w:cstheme="majorBidi"/>
          <w:color w:val="1C1E29"/>
        </w:rPr>
        <w:t xml:space="preserve">6) for 50 minutes. Subsequently, sections were blocked to prevent non-specific binding, prior to incubating them overnight with primary antibody (MAB=16982, 1/300) at 4 °C. The sections </w:t>
      </w:r>
      <w:r>
        <w:rPr>
          <w:rFonts w:asciiTheme="majorBidi" w:hAnsiTheme="majorBidi" w:cstheme="majorBidi"/>
          <w:color w:val="1C1E29"/>
        </w:rPr>
        <w:t xml:space="preserve">were </w:t>
      </w:r>
      <w:r w:rsidRPr="00FE2A55">
        <w:rPr>
          <w:rFonts w:asciiTheme="majorBidi" w:hAnsiTheme="majorBidi" w:cstheme="majorBidi"/>
          <w:color w:val="1C1E29"/>
        </w:rPr>
        <w:t xml:space="preserve">then washed with wash buffer and incubated with a ready-to-use biotinylated secondary antibody (PAB0096), followed by the addition of a streptavidin-conjugated enzyme. After immunoreactions, sections were washed with wash buffer and then color development </w:t>
      </w:r>
      <w:r w:rsidRPr="003F551F">
        <w:rPr>
          <w:rFonts w:asciiTheme="majorBidi" w:hAnsiTheme="majorBidi" w:cstheme="majorBidi"/>
        </w:rPr>
        <w:t xml:space="preserve">performed </w:t>
      </w:r>
      <w:r w:rsidRPr="00AE6DFE">
        <w:rPr>
          <w:rFonts w:asciiTheme="majorBidi" w:hAnsiTheme="majorBidi" w:cstheme="majorBidi"/>
        </w:rPr>
        <w:t>using </w:t>
      </w:r>
      <w:r>
        <w:rPr>
          <w:rFonts w:asciiTheme="majorBidi" w:hAnsiTheme="majorBidi" w:cstheme="majorBidi"/>
        </w:rPr>
        <w:t>3,3'-diaminobenzidine</w:t>
      </w:r>
      <w:r w:rsidRPr="003F551F">
        <w:rPr>
          <w:rFonts w:asciiTheme="majorBidi" w:hAnsiTheme="majorBidi" w:cstheme="majorBidi"/>
        </w:rPr>
        <w:t xml:space="preserve"> (DAB) solution for 10 minutes. Slides were then </w:t>
      </w:r>
      <w:r w:rsidRPr="00AE6DFE">
        <w:rPr>
          <w:rFonts w:asciiTheme="majorBidi" w:hAnsiTheme="majorBidi" w:cstheme="majorBidi"/>
        </w:rPr>
        <w:t>counterstained with </w:t>
      </w:r>
      <w:r>
        <w:rPr>
          <w:rFonts w:asciiTheme="majorBidi" w:hAnsiTheme="majorBidi" w:cstheme="majorBidi"/>
        </w:rPr>
        <w:t>hematoxylin</w:t>
      </w:r>
      <w:r w:rsidRPr="00AE6DFE">
        <w:rPr>
          <w:rFonts w:asciiTheme="majorBidi" w:hAnsiTheme="majorBidi" w:cstheme="majorBidi"/>
        </w:rPr>
        <w:t xml:space="preserve"> </w:t>
      </w:r>
      <w:r w:rsidRPr="003F551F">
        <w:rPr>
          <w:rFonts w:asciiTheme="majorBidi" w:hAnsiTheme="majorBidi" w:cstheme="majorBidi"/>
        </w:rPr>
        <w:t xml:space="preserve">and dehydrated using </w:t>
      </w:r>
      <w:r w:rsidRPr="00AE6DFE">
        <w:rPr>
          <w:rFonts w:asciiTheme="majorBidi" w:hAnsiTheme="majorBidi" w:cstheme="majorBidi"/>
        </w:rPr>
        <w:t>graded </w:t>
      </w:r>
      <w:r>
        <w:rPr>
          <w:rFonts w:asciiTheme="majorBidi" w:hAnsiTheme="majorBidi" w:cstheme="majorBidi"/>
        </w:rPr>
        <w:t>alcohols</w:t>
      </w:r>
      <w:r w:rsidRPr="00AE6DFE">
        <w:rPr>
          <w:rFonts w:asciiTheme="majorBidi" w:hAnsiTheme="majorBidi" w:cstheme="majorBidi"/>
        </w:rPr>
        <w:t> and xylene</w:t>
      </w:r>
      <w:r w:rsidRPr="00FE2A55">
        <w:rPr>
          <w:rFonts w:asciiTheme="majorBidi" w:hAnsiTheme="majorBidi" w:cstheme="majorBidi"/>
          <w:color w:val="1C1E29"/>
        </w:rPr>
        <w:t xml:space="preserve">. Finally, sections were mounted onto slides, following coverslip application. The images were taken using an </w:t>
      </w:r>
      <w:bookmarkStart w:id="21" w:name="_Hlk32167262"/>
      <w:r w:rsidRPr="00FE2A55">
        <w:rPr>
          <w:rFonts w:asciiTheme="majorBidi" w:hAnsiTheme="majorBidi" w:cstheme="majorBidi"/>
          <w:color w:val="1C1E29"/>
        </w:rPr>
        <w:t>optical Olympus AX70 microscope (Japan) with a DP11 digital camera</w:t>
      </w:r>
      <w:bookmarkEnd w:id="21"/>
      <w:r w:rsidRPr="00FE2A55">
        <w:rPr>
          <w:rFonts w:asciiTheme="majorBidi" w:hAnsiTheme="majorBidi" w:cstheme="majorBidi"/>
          <w:color w:val="1C1E29"/>
        </w:rPr>
        <w:t>. The immunoreaction intensity was analyzed with NIH Image J software. The values were obtained by the densitometric analysis performed by ImageJ software. The background intensity was subtracted from the intensity in the areas of interest. Average intensities were obtained from 3 animals in each group.</w:t>
      </w:r>
    </w:p>
    <w:p w14:paraId="42B66F63" w14:textId="77777777" w:rsidR="008439C3" w:rsidRDefault="008439C3" w:rsidP="008439C3">
      <w:pPr>
        <w:pStyle w:val="NormalWeb"/>
        <w:spacing w:before="0" w:beforeAutospacing="0" w:after="0" w:afterAutospacing="0" w:line="480" w:lineRule="auto"/>
        <w:jc w:val="both"/>
        <w:rPr>
          <w:rFonts w:asciiTheme="majorBidi" w:hAnsiTheme="majorBidi" w:cstheme="majorBidi"/>
          <w:color w:val="1C1E29"/>
        </w:rPr>
      </w:pPr>
    </w:p>
    <w:p w14:paraId="6BDC0C18" w14:textId="77777777" w:rsidR="008439C3" w:rsidRPr="00877022" w:rsidRDefault="008439C3" w:rsidP="008439C3">
      <w:pPr>
        <w:spacing w:after="0" w:line="480" w:lineRule="auto"/>
        <w:jc w:val="both"/>
        <w:rPr>
          <w:rFonts w:ascii="Times New Roman" w:eastAsia="Times New Roman" w:hAnsi="Times New Roman" w:cs="Times New Roman"/>
          <w:color w:val="1C1E29"/>
          <w:sz w:val="24"/>
          <w:szCs w:val="24"/>
        </w:rPr>
      </w:pPr>
      <w:r>
        <w:rPr>
          <w:rFonts w:ascii="Times New Roman" w:eastAsia="Times New Roman" w:hAnsi="Times New Roman" w:cs="Times New Roman"/>
          <w:b/>
          <w:bCs/>
          <w:color w:val="1C1E29"/>
          <w:sz w:val="24"/>
          <w:szCs w:val="24"/>
        </w:rPr>
        <w:lastRenderedPageBreak/>
        <w:t>6</w:t>
      </w:r>
      <w:r w:rsidRPr="00877022">
        <w:rPr>
          <w:rFonts w:ascii="Times New Roman" w:eastAsia="Times New Roman" w:hAnsi="Times New Roman" w:cs="Times New Roman"/>
          <w:b/>
          <w:bCs/>
          <w:color w:val="1C1E29"/>
          <w:sz w:val="24"/>
          <w:szCs w:val="24"/>
        </w:rPr>
        <w:t>. Statistical analysis</w:t>
      </w:r>
    </w:p>
    <w:p w14:paraId="73C8DA78"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r w:rsidRPr="009007A3">
        <w:rPr>
          <w:rFonts w:asciiTheme="majorBidi" w:eastAsia="Times New Roman" w:hAnsiTheme="majorBidi" w:cstheme="majorBidi"/>
          <w:color w:val="1C1E29"/>
          <w:sz w:val="24"/>
          <w:szCs w:val="24"/>
        </w:rPr>
        <w:t xml:space="preserve">In this study, data were expressed as mean ± standard (S.E.M.). GraphPad Prism (version 6.0; GraphPad Prism Software Inc., San Diego, CA, USA) was used for statistical analysis. Data from </w:t>
      </w:r>
      <w:proofErr w:type="spellStart"/>
      <w:r w:rsidRPr="009007A3">
        <w:rPr>
          <w:rFonts w:asciiTheme="majorBidi" w:eastAsia="Times New Roman" w:hAnsiTheme="majorBidi" w:cstheme="majorBidi"/>
          <w:color w:val="1C1E29"/>
          <w:sz w:val="24"/>
          <w:szCs w:val="24"/>
        </w:rPr>
        <w:t>behavioral</w:t>
      </w:r>
      <w:proofErr w:type="spellEnd"/>
      <w:r w:rsidRPr="009007A3">
        <w:rPr>
          <w:rFonts w:asciiTheme="majorBidi" w:eastAsia="Times New Roman" w:hAnsiTheme="majorBidi" w:cstheme="majorBidi"/>
          <w:color w:val="1C1E29"/>
          <w:sz w:val="24"/>
          <w:szCs w:val="24"/>
        </w:rPr>
        <w:t xml:space="preserve"> tests were examined between groups by two-way ANOVA analysis followed by Tukey's post-hoc test for multiple comparisons. Western Blot analysis were compared by one-way ANOVA followed by Tukey's post-hoc test. Quantitative analysis of immunohistochemical images was performed by t-test. P-values less than 0.05 were considered as statistically significant.</w:t>
      </w:r>
    </w:p>
    <w:p w14:paraId="7B722134" w14:textId="77777777" w:rsidR="008439C3" w:rsidRPr="009007A3" w:rsidRDefault="008439C3" w:rsidP="008439C3">
      <w:pPr>
        <w:spacing w:after="0" w:line="480" w:lineRule="auto"/>
        <w:jc w:val="both"/>
        <w:rPr>
          <w:rFonts w:asciiTheme="majorBidi" w:eastAsia="Times New Roman" w:hAnsiTheme="majorBidi" w:cstheme="majorBidi"/>
          <w:color w:val="1C1E29"/>
          <w:sz w:val="24"/>
          <w:szCs w:val="24"/>
        </w:rPr>
      </w:pPr>
    </w:p>
    <w:p w14:paraId="6470D295" w14:textId="77777777" w:rsidR="008439C3" w:rsidRPr="009007A3" w:rsidRDefault="008439C3" w:rsidP="008439C3">
      <w:pPr>
        <w:spacing w:after="0" w:line="480" w:lineRule="auto"/>
        <w:jc w:val="both"/>
        <w:rPr>
          <w:rFonts w:asciiTheme="majorBidi" w:hAnsiTheme="majorBidi" w:cstheme="majorBidi"/>
          <w:sz w:val="24"/>
          <w:szCs w:val="24"/>
        </w:rPr>
      </w:pPr>
    </w:p>
    <w:p w14:paraId="574B805C" w14:textId="77777777" w:rsidR="008439C3" w:rsidRPr="002D54E6" w:rsidRDefault="008439C3" w:rsidP="008439C3">
      <w:pPr>
        <w:rPr>
          <w:sz w:val="20"/>
          <w:szCs w:val="20"/>
        </w:rPr>
      </w:pPr>
      <w:r w:rsidRPr="00D15C06">
        <w:rPr>
          <w:rFonts w:asciiTheme="minorBidi" w:hAnsiTheme="minorBidi"/>
          <w:color w:val="222222"/>
          <w:sz w:val="20"/>
          <w:szCs w:val="20"/>
        </w:rPr>
        <w:t xml:space="preserve">          </w:t>
      </w:r>
    </w:p>
    <w:p w14:paraId="06882849" w14:textId="77777777" w:rsidR="008439C3" w:rsidRPr="00751325" w:rsidRDefault="008439C3" w:rsidP="008439C3">
      <w:pPr>
        <w:autoSpaceDE w:val="0"/>
        <w:autoSpaceDN w:val="0"/>
        <w:adjustRightInd w:val="0"/>
        <w:spacing w:after="0" w:line="480" w:lineRule="auto"/>
        <w:jc w:val="both"/>
        <w:rPr>
          <w:rFonts w:asciiTheme="majorBidi" w:hAnsiTheme="majorBidi" w:cstheme="majorBidi"/>
          <w:b/>
          <w:bCs/>
          <w:color w:val="000000" w:themeColor="text1"/>
          <w:sz w:val="24"/>
          <w:szCs w:val="24"/>
        </w:rPr>
      </w:pPr>
      <w:r w:rsidRPr="00A37B6A">
        <w:rPr>
          <w:rFonts w:asciiTheme="majorBidi" w:hAnsiTheme="majorBidi" w:cstheme="majorBidi"/>
          <w:b/>
          <w:bCs/>
          <w:color w:val="000000" w:themeColor="text1"/>
          <w:sz w:val="24"/>
          <w:szCs w:val="24"/>
        </w:rPr>
        <w:t>Abbreviation</w:t>
      </w:r>
    </w:p>
    <w:p w14:paraId="307E2A59" w14:textId="77777777" w:rsidR="008439C3" w:rsidRPr="00F5283C" w:rsidRDefault="008439C3" w:rsidP="008439C3">
      <w:pPr>
        <w:spacing w:after="0" w:line="480" w:lineRule="auto"/>
        <w:jc w:val="both"/>
        <w:rPr>
          <w:rFonts w:asciiTheme="majorBidi" w:hAnsiTheme="majorBidi" w:cstheme="majorBidi"/>
          <w:sz w:val="20"/>
          <w:szCs w:val="20"/>
        </w:rPr>
      </w:pPr>
      <w:r w:rsidRPr="00F5283C">
        <w:rPr>
          <w:rFonts w:asciiTheme="majorBidi" w:hAnsiTheme="majorBidi" w:cstheme="majorBidi"/>
          <w:sz w:val="20"/>
          <w:szCs w:val="20"/>
        </w:rPr>
        <w:t>BDNF: Brain-Derived Neurotrophic Factor; BL: Baseline Latency; BSA: Bovine Serum Albumin</w:t>
      </w:r>
    </w:p>
    <w:p w14:paraId="732B6A27" w14:textId="77777777" w:rsidR="008439C3" w:rsidRPr="00F5283C" w:rsidRDefault="008439C3" w:rsidP="008439C3">
      <w:pPr>
        <w:spacing w:after="0" w:line="480" w:lineRule="auto"/>
        <w:jc w:val="both"/>
        <w:rPr>
          <w:rFonts w:asciiTheme="majorBidi" w:hAnsiTheme="majorBidi" w:cstheme="majorBidi"/>
          <w:sz w:val="20"/>
          <w:szCs w:val="20"/>
        </w:rPr>
      </w:pPr>
      <w:r w:rsidRPr="00F5283C">
        <w:rPr>
          <w:rFonts w:asciiTheme="majorBidi" w:hAnsiTheme="majorBidi" w:cstheme="majorBidi"/>
          <w:sz w:val="20"/>
          <w:szCs w:val="20"/>
        </w:rPr>
        <w:t>CREB: cAMP (Adenosine 3’5’ cyclic monophosphate) Response Element Binding Protein; DAB: Diaminobenzidine; GABA: Gamma-aminobutyric acid; GAT-1: GABA transporter 1; Gi: G protein inhibiting; Gs: G protein stimulating; IV: Intravenous; KCC2: K</w:t>
      </w:r>
      <w:r w:rsidRPr="00F5283C">
        <w:rPr>
          <w:rFonts w:asciiTheme="majorBidi" w:hAnsiTheme="majorBidi" w:cstheme="majorBidi"/>
          <w:sz w:val="20"/>
          <w:szCs w:val="20"/>
          <w:vertAlign w:val="superscript"/>
        </w:rPr>
        <w:t>+</w:t>
      </w:r>
      <w:r w:rsidRPr="00F5283C">
        <w:rPr>
          <w:rFonts w:asciiTheme="majorBidi" w:hAnsiTheme="majorBidi" w:cstheme="majorBidi"/>
          <w:sz w:val="20"/>
          <w:szCs w:val="20"/>
        </w:rPr>
        <w:t>, CL</w:t>
      </w:r>
      <w:r w:rsidRPr="00F5283C">
        <w:rPr>
          <w:rFonts w:asciiTheme="majorBidi" w:hAnsiTheme="majorBidi" w:cstheme="majorBidi"/>
          <w:sz w:val="20"/>
          <w:szCs w:val="20"/>
          <w:vertAlign w:val="superscript"/>
        </w:rPr>
        <w:t xml:space="preserve">- </w:t>
      </w:r>
      <w:r w:rsidRPr="00F5283C">
        <w:rPr>
          <w:rFonts w:asciiTheme="majorBidi" w:hAnsiTheme="majorBidi" w:cstheme="majorBidi"/>
          <w:sz w:val="20"/>
          <w:szCs w:val="20"/>
        </w:rPr>
        <w:t xml:space="preserve">Cotransporter 2; mg: Milligram; MOR: Morphine; MPAE: Maximum possible analgesic effect; NAL: Naloxone; Ng: Nanogram; OIH: Opioid-Induced Hyperalgesia; PBS: Phosphate buffered saline; </w:t>
      </w:r>
      <w:proofErr w:type="spellStart"/>
      <w:r w:rsidRPr="00F5283C">
        <w:rPr>
          <w:rFonts w:asciiTheme="majorBidi" w:hAnsiTheme="majorBidi" w:cstheme="majorBidi"/>
          <w:sz w:val="20"/>
          <w:szCs w:val="20"/>
        </w:rPr>
        <w:t>pg</w:t>
      </w:r>
      <w:proofErr w:type="spellEnd"/>
      <w:r w:rsidRPr="00F5283C">
        <w:rPr>
          <w:rFonts w:asciiTheme="majorBidi" w:hAnsiTheme="majorBidi" w:cstheme="majorBidi"/>
          <w:sz w:val="20"/>
          <w:szCs w:val="20"/>
        </w:rPr>
        <w:t xml:space="preserve">: Picogram; </w:t>
      </w:r>
      <w:proofErr w:type="spellStart"/>
      <w:r w:rsidRPr="00F5283C">
        <w:rPr>
          <w:rFonts w:asciiTheme="majorBidi" w:hAnsiTheme="majorBidi" w:cstheme="majorBidi"/>
          <w:sz w:val="20"/>
          <w:szCs w:val="20"/>
        </w:rPr>
        <w:t>PKCɛ</w:t>
      </w:r>
      <w:proofErr w:type="spellEnd"/>
      <w:r w:rsidRPr="00F5283C">
        <w:rPr>
          <w:rFonts w:asciiTheme="majorBidi" w:hAnsiTheme="majorBidi" w:cstheme="majorBidi"/>
          <w:sz w:val="20"/>
          <w:szCs w:val="20"/>
        </w:rPr>
        <w:t xml:space="preserve">: Protein Kinase </w:t>
      </w:r>
      <w:proofErr w:type="spellStart"/>
      <w:r w:rsidRPr="00F5283C">
        <w:rPr>
          <w:rFonts w:asciiTheme="majorBidi" w:hAnsiTheme="majorBidi" w:cstheme="majorBidi"/>
          <w:sz w:val="20"/>
          <w:szCs w:val="20"/>
        </w:rPr>
        <w:t>Cɛ</w:t>
      </w:r>
      <w:proofErr w:type="spellEnd"/>
      <w:r w:rsidRPr="00F5283C">
        <w:rPr>
          <w:rFonts w:asciiTheme="majorBidi" w:hAnsiTheme="majorBidi" w:cstheme="majorBidi"/>
          <w:sz w:val="20"/>
          <w:szCs w:val="20"/>
        </w:rPr>
        <w:t xml:space="preserve">; PKCᵧ: Protein Kinase Cᵧ; </w:t>
      </w:r>
      <w:r w:rsidRPr="00F5283C">
        <w:rPr>
          <w:rFonts w:asciiTheme="majorBidi" w:hAnsiTheme="majorBidi" w:cstheme="majorBidi"/>
          <w:color w:val="000000" w:themeColor="text1"/>
          <w:sz w:val="20"/>
          <w:szCs w:val="20"/>
        </w:rPr>
        <w:t xml:space="preserve">PVDF: Polyvinylidene difluoride; </w:t>
      </w:r>
      <w:r w:rsidRPr="00F5283C">
        <w:rPr>
          <w:rFonts w:asciiTheme="majorBidi" w:hAnsiTheme="majorBidi" w:cstheme="majorBidi"/>
          <w:sz w:val="20"/>
          <w:szCs w:val="20"/>
        </w:rPr>
        <w:t xml:space="preserve">PWL: Paw Withdrawal; SAL: Saline; SC: Subcutaneous; SDS-PAGE: Sodium dodecyl </w:t>
      </w:r>
      <w:proofErr w:type="spellStart"/>
      <w:r w:rsidRPr="00F5283C">
        <w:rPr>
          <w:rFonts w:asciiTheme="majorBidi" w:hAnsiTheme="majorBidi" w:cstheme="majorBidi"/>
          <w:sz w:val="20"/>
          <w:szCs w:val="20"/>
        </w:rPr>
        <w:t>sulfate</w:t>
      </w:r>
      <w:proofErr w:type="spellEnd"/>
      <w:r w:rsidRPr="00F5283C">
        <w:rPr>
          <w:rFonts w:asciiTheme="majorBidi" w:hAnsiTheme="majorBidi" w:cstheme="majorBidi"/>
          <w:sz w:val="20"/>
          <w:szCs w:val="20"/>
        </w:rPr>
        <w:t xml:space="preserve"> page; TBST: Tris Buffered Saline Tween-20; TL: Tail flick Latency; </w:t>
      </w:r>
      <w:proofErr w:type="spellStart"/>
      <w:r w:rsidRPr="00F5283C">
        <w:rPr>
          <w:rFonts w:asciiTheme="majorBidi" w:hAnsiTheme="majorBidi" w:cstheme="majorBidi"/>
          <w:sz w:val="20"/>
          <w:szCs w:val="20"/>
        </w:rPr>
        <w:t>TrkB</w:t>
      </w:r>
      <w:proofErr w:type="spellEnd"/>
      <w:r w:rsidRPr="00F5283C">
        <w:rPr>
          <w:rFonts w:asciiTheme="majorBidi" w:hAnsiTheme="majorBidi" w:cstheme="majorBidi"/>
          <w:sz w:val="20"/>
          <w:szCs w:val="20"/>
        </w:rPr>
        <w:t>: Tyrosine Kinase B; ULD: Ultra-Low Dose;</w:t>
      </w:r>
    </w:p>
    <w:p w14:paraId="6394417E" w14:textId="77777777" w:rsidR="008439C3" w:rsidRDefault="008439C3" w:rsidP="008439C3">
      <w:pPr>
        <w:spacing w:line="480" w:lineRule="auto"/>
        <w:jc w:val="both"/>
        <w:rPr>
          <w:rFonts w:asciiTheme="majorBidi" w:hAnsiTheme="majorBidi" w:cstheme="majorBidi"/>
          <w:sz w:val="24"/>
          <w:szCs w:val="24"/>
        </w:rPr>
      </w:pPr>
    </w:p>
    <w:p w14:paraId="49A16B32" w14:textId="77777777" w:rsidR="008439C3" w:rsidRPr="00A37B6A" w:rsidRDefault="008439C3" w:rsidP="008439C3">
      <w:pPr>
        <w:spacing w:line="480" w:lineRule="auto"/>
        <w:jc w:val="both"/>
        <w:rPr>
          <w:rFonts w:asciiTheme="majorBidi" w:hAnsiTheme="majorBidi" w:cstheme="majorBidi"/>
          <w:sz w:val="24"/>
          <w:szCs w:val="24"/>
          <w:rtl/>
          <w:lang w:bidi="fa-IR"/>
        </w:rPr>
      </w:pPr>
    </w:p>
    <w:p w14:paraId="509A30A2" w14:textId="77777777" w:rsidR="008439C3" w:rsidRPr="00A37B6A" w:rsidRDefault="008439C3" w:rsidP="008439C3">
      <w:pPr>
        <w:shd w:val="clear" w:color="auto" w:fill="FFFFFF"/>
        <w:spacing w:before="100" w:beforeAutospacing="1" w:after="96" w:line="480" w:lineRule="auto"/>
        <w:jc w:val="both"/>
        <w:rPr>
          <w:rFonts w:asciiTheme="majorBidi" w:eastAsia="Times New Roman" w:hAnsiTheme="majorBidi" w:cstheme="majorBidi"/>
          <w:b/>
          <w:bCs/>
          <w:color w:val="000000" w:themeColor="text1"/>
          <w:sz w:val="24"/>
          <w:szCs w:val="24"/>
        </w:rPr>
      </w:pPr>
      <w:r w:rsidRPr="00A37B6A">
        <w:rPr>
          <w:rFonts w:asciiTheme="majorBidi" w:eastAsia="Times New Roman" w:hAnsiTheme="majorBidi" w:cstheme="majorBidi"/>
          <w:b/>
          <w:bCs/>
          <w:color w:val="000000" w:themeColor="text1"/>
          <w:sz w:val="24"/>
          <w:szCs w:val="24"/>
        </w:rPr>
        <w:t>Acknowledgements</w:t>
      </w:r>
    </w:p>
    <w:p w14:paraId="46489E07" w14:textId="77777777" w:rsidR="008439C3" w:rsidRPr="00A37B6A" w:rsidRDefault="008439C3" w:rsidP="008439C3">
      <w:pPr>
        <w:shd w:val="clear" w:color="auto" w:fill="FFFFFF"/>
        <w:spacing w:before="100" w:beforeAutospacing="1" w:after="96" w:line="480" w:lineRule="auto"/>
        <w:jc w:val="both"/>
        <w:rPr>
          <w:rFonts w:asciiTheme="majorBidi" w:eastAsia="Times New Roman" w:hAnsiTheme="majorBidi" w:cstheme="majorBidi"/>
          <w:b/>
          <w:bCs/>
          <w:color w:val="000000" w:themeColor="text1"/>
          <w:sz w:val="24"/>
          <w:szCs w:val="24"/>
          <w:rtl/>
          <w:lang w:bidi="fa-IR"/>
        </w:rPr>
      </w:pPr>
      <w:r w:rsidRPr="00A37B6A">
        <w:rPr>
          <w:rFonts w:asciiTheme="majorBidi" w:hAnsiTheme="majorBidi" w:cstheme="majorBidi"/>
          <w:sz w:val="24"/>
          <w:szCs w:val="24"/>
        </w:rPr>
        <w:t>This article has been extracted from the</w:t>
      </w:r>
      <w:r>
        <w:rPr>
          <w:rFonts w:asciiTheme="majorBidi" w:hAnsiTheme="majorBidi" w:cstheme="majorBidi"/>
          <w:sz w:val="24"/>
          <w:szCs w:val="24"/>
        </w:rPr>
        <w:t xml:space="preserve"> MSc.</w:t>
      </w:r>
      <w:r w:rsidRPr="00A37B6A">
        <w:rPr>
          <w:rFonts w:asciiTheme="majorBidi" w:hAnsiTheme="majorBidi" w:cstheme="majorBidi"/>
          <w:sz w:val="24"/>
          <w:szCs w:val="24"/>
        </w:rPr>
        <w:t xml:space="preserve"> thesis </w:t>
      </w:r>
      <w:r>
        <w:rPr>
          <w:rFonts w:asciiTheme="majorBidi" w:hAnsiTheme="majorBidi" w:cstheme="majorBidi"/>
          <w:sz w:val="24"/>
          <w:szCs w:val="24"/>
        </w:rPr>
        <w:t xml:space="preserve">was </w:t>
      </w:r>
      <w:r w:rsidRPr="00A37B6A">
        <w:rPr>
          <w:rFonts w:asciiTheme="majorBidi" w:hAnsiTheme="majorBidi" w:cstheme="majorBidi"/>
          <w:sz w:val="24"/>
          <w:szCs w:val="24"/>
        </w:rPr>
        <w:t>written by Mis</w:t>
      </w:r>
      <w:r>
        <w:rPr>
          <w:rFonts w:asciiTheme="majorBidi" w:hAnsiTheme="majorBidi" w:cstheme="majorBidi"/>
          <w:sz w:val="24"/>
          <w:szCs w:val="24"/>
        </w:rPr>
        <w:t>s</w:t>
      </w:r>
      <w:r w:rsidRPr="00A37B6A">
        <w:rPr>
          <w:rFonts w:asciiTheme="majorBidi" w:hAnsiTheme="majorBidi" w:cstheme="majorBidi"/>
          <w:sz w:val="24"/>
          <w:szCs w:val="24"/>
        </w:rPr>
        <w:t xml:space="preserve"> </w:t>
      </w:r>
      <w:proofErr w:type="spellStart"/>
      <w:r w:rsidRPr="00A37B6A">
        <w:rPr>
          <w:rFonts w:asciiTheme="majorBidi" w:hAnsiTheme="majorBidi" w:cstheme="majorBidi"/>
          <w:sz w:val="24"/>
          <w:szCs w:val="24"/>
        </w:rPr>
        <w:t>Mozhgan</w:t>
      </w:r>
      <w:proofErr w:type="spellEnd"/>
      <w:r w:rsidRPr="00A37B6A">
        <w:rPr>
          <w:rFonts w:asciiTheme="majorBidi" w:hAnsiTheme="majorBidi" w:cstheme="majorBidi"/>
          <w:sz w:val="24"/>
          <w:szCs w:val="24"/>
        </w:rPr>
        <w:t xml:space="preserve"> </w:t>
      </w:r>
      <w:proofErr w:type="spellStart"/>
      <w:r w:rsidRPr="00A37B6A">
        <w:rPr>
          <w:rFonts w:asciiTheme="majorBidi" w:hAnsiTheme="majorBidi" w:cstheme="majorBidi"/>
          <w:sz w:val="24"/>
          <w:szCs w:val="24"/>
        </w:rPr>
        <w:t>Baratzadeh</w:t>
      </w:r>
      <w:proofErr w:type="spellEnd"/>
      <w:r w:rsidRPr="00A37B6A">
        <w:rPr>
          <w:rFonts w:asciiTheme="majorBidi" w:hAnsiTheme="majorBidi" w:cstheme="majorBidi"/>
          <w:sz w:val="24"/>
          <w:szCs w:val="24"/>
        </w:rPr>
        <w:t xml:space="preserve"> in </w:t>
      </w:r>
      <w:r>
        <w:rPr>
          <w:rFonts w:asciiTheme="majorBidi" w:hAnsiTheme="majorBidi" w:cstheme="majorBidi"/>
          <w:sz w:val="24"/>
          <w:szCs w:val="24"/>
        </w:rPr>
        <w:t xml:space="preserve">the </w:t>
      </w:r>
      <w:r w:rsidRPr="00A37B6A">
        <w:rPr>
          <w:rFonts w:asciiTheme="majorBidi" w:hAnsiTheme="majorBidi" w:cstheme="majorBidi"/>
          <w:sz w:val="24"/>
          <w:szCs w:val="24"/>
        </w:rPr>
        <w:t>Physiology Department, school of medicine, Shahid Beheshti University of Medical Sciences (Registration No: 48)</w:t>
      </w:r>
      <w:r>
        <w:rPr>
          <w:rFonts w:asciiTheme="majorBidi" w:hAnsiTheme="majorBidi" w:cstheme="majorBidi"/>
          <w:sz w:val="24"/>
          <w:szCs w:val="24"/>
        </w:rPr>
        <w:t>. So,</w:t>
      </w:r>
      <w:r w:rsidRPr="00187E51">
        <w:rPr>
          <w:rFonts w:asciiTheme="majorBidi" w:eastAsia="Times New Roman" w:hAnsiTheme="majorBidi" w:cstheme="majorBidi"/>
          <w:color w:val="000000" w:themeColor="text1"/>
        </w:rPr>
        <w:t xml:space="preserve"> </w:t>
      </w:r>
      <w:r>
        <w:rPr>
          <w:rFonts w:asciiTheme="majorBidi" w:eastAsia="Times New Roman" w:hAnsiTheme="majorBidi" w:cstheme="majorBidi"/>
          <w:color w:val="000000" w:themeColor="text1"/>
        </w:rPr>
        <w:t xml:space="preserve">we thank very much of the </w:t>
      </w:r>
      <w:r w:rsidRPr="004D3FAF">
        <w:rPr>
          <w:rFonts w:asciiTheme="majorBidi" w:eastAsia="Times New Roman" w:hAnsiTheme="majorBidi" w:cstheme="majorBidi"/>
          <w:color w:val="000000" w:themeColor="text1"/>
        </w:rPr>
        <w:t xml:space="preserve">Research </w:t>
      </w:r>
      <w:r>
        <w:rPr>
          <w:rFonts w:asciiTheme="majorBidi" w:eastAsia="Times New Roman" w:hAnsiTheme="majorBidi" w:cstheme="majorBidi"/>
          <w:color w:val="000000" w:themeColor="text1"/>
        </w:rPr>
        <w:t>D</w:t>
      </w:r>
      <w:r w:rsidRPr="004D3FAF">
        <w:rPr>
          <w:rFonts w:asciiTheme="majorBidi" w:eastAsia="Times New Roman" w:hAnsiTheme="majorBidi" w:cstheme="majorBidi"/>
          <w:color w:val="000000" w:themeColor="text1"/>
        </w:rPr>
        <w:t xml:space="preserve">epartment </w:t>
      </w:r>
      <w:r>
        <w:rPr>
          <w:rFonts w:asciiTheme="majorBidi" w:eastAsia="Times New Roman" w:hAnsiTheme="majorBidi" w:cstheme="majorBidi"/>
          <w:color w:val="000000" w:themeColor="text1"/>
        </w:rPr>
        <w:t xml:space="preserve">of </w:t>
      </w:r>
      <w:r w:rsidRPr="004D3FAF">
        <w:rPr>
          <w:rFonts w:asciiTheme="majorBidi" w:eastAsia="Times New Roman" w:hAnsiTheme="majorBidi" w:cstheme="majorBidi"/>
          <w:color w:val="000000" w:themeColor="text1"/>
        </w:rPr>
        <w:t xml:space="preserve">the </w:t>
      </w:r>
      <w:r w:rsidRPr="004D3FAF">
        <w:rPr>
          <w:rFonts w:asciiTheme="majorBidi" w:hAnsiTheme="majorBidi" w:cstheme="majorBidi"/>
          <w:lang w:bidi="fa-IR"/>
        </w:rPr>
        <w:t>School of</w:t>
      </w:r>
      <w:r w:rsidRPr="004D3FAF">
        <w:rPr>
          <w:rFonts w:asciiTheme="majorBidi" w:eastAsia="Times New Roman" w:hAnsiTheme="majorBidi" w:cstheme="majorBidi"/>
          <w:color w:val="000000" w:themeColor="text1"/>
        </w:rPr>
        <w:t xml:space="preserve"> </w:t>
      </w:r>
      <w:r w:rsidRPr="004D3FAF">
        <w:rPr>
          <w:rFonts w:asciiTheme="majorBidi" w:hAnsiTheme="majorBidi" w:cstheme="majorBidi"/>
          <w:lang w:bidi="fa-IR"/>
        </w:rPr>
        <w:t>Medicine, Shahid Beheshti University of Medical Sciences</w:t>
      </w:r>
      <w:r>
        <w:rPr>
          <w:rFonts w:asciiTheme="majorBidi" w:hAnsiTheme="majorBidi" w:cstheme="majorBidi"/>
          <w:lang w:bidi="fa-IR"/>
        </w:rPr>
        <w:t xml:space="preserve"> for their supporting.</w:t>
      </w:r>
    </w:p>
    <w:p w14:paraId="6AE350F3" w14:textId="77777777" w:rsidR="008439C3" w:rsidRDefault="008439C3" w:rsidP="008439C3">
      <w:pPr>
        <w:spacing w:line="480" w:lineRule="auto"/>
        <w:jc w:val="both"/>
        <w:rPr>
          <w:rFonts w:asciiTheme="majorBidi" w:hAnsiTheme="majorBidi" w:cstheme="majorBidi"/>
          <w:b/>
          <w:bCs/>
          <w:sz w:val="24"/>
          <w:szCs w:val="24"/>
        </w:rPr>
      </w:pPr>
    </w:p>
    <w:p w14:paraId="2DA57563" w14:textId="77777777" w:rsidR="008439C3" w:rsidRPr="00A37B6A" w:rsidRDefault="008439C3" w:rsidP="008439C3">
      <w:pPr>
        <w:spacing w:line="480" w:lineRule="auto"/>
        <w:jc w:val="both"/>
        <w:rPr>
          <w:rFonts w:asciiTheme="majorBidi" w:hAnsiTheme="majorBidi" w:cstheme="majorBidi"/>
          <w:b/>
          <w:bCs/>
          <w:sz w:val="24"/>
          <w:szCs w:val="24"/>
        </w:rPr>
      </w:pPr>
      <w:r w:rsidRPr="00A37B6A">
        <w:rPr>
          <w:rFonts w:asciiTheme="majorBidi" w:hAnsiTheme="majorBidi" w:cstheme="majorBidi"/>
          <w:b/>
          <w:bCs/>
          <w:sz w:val="24"/>
          <w:szCs w:val="24"/>
        </w:rPr>
        <w:lastRenderedPageBreak/>
        <w:t>Declarations</w:t>
      </w:r>
    </w:p>
    <w:p w14:paraId="3F951B3A" w14:textId="77777777" w:rsidR="008439C3" w:rsidRPr="00A37B6A" w:rsidRDefault="008439C3" w:rsidP="008439C3">
      <w:pPr>
        <w:shd w:val="clear" w:color="auto" w:fill="FFFFFF"/>
        <w:spacing w:before="100" w:beforeAutospacing="1" w:after="96" w:line="480" w:lineRule="auto"/>
        <w:jc w:val="both"/>
        <w:rPr>
          <w:rFonts w:asciiTheme="majorBidi" w:eastAsia="Times New Roman" w:hAnsiTheme="majorBidi" w:cstheme="majorBidi"/>
          <w:b/>
          <w:bCs/>
          <w:color w:val="000000" w:themeColor="text1"/>
          <w:sz w:val="24"/>
          <w:szCs w:val="24"/>
        </w:rPr>
      </w:pPr>
      <w:r w:rsidRPr="00A37B6A">
        <w:rPr>
          <w:rFonts w:asciiTheme="majorBidi" w:eastAsia="Times New Roman" w:hAnsiTheme="majorBidi" w:cstheme="majorBidi"/>
          <w:b/>
          <w:bCs/>
          <w:color w:val="000000" w:themeColor="text1"/>
          <w:sz w:val="24"/>
          <w:szCs w:val="24"/>
        </w:rPr>
        <w:t>Ethics approval and consent to participate</w:t>
      </w:r>
    </w:p>
    <w:p w14:paraId="564245C1" w14:textId="77777777" w:rsidR="008439C3" w:rsidRPr="000A458E" w:rsidRDefault="008439C3" w:rsidP="008439C3">
      <w:pPr>
        <w:pStyle w:val="NormalWeb"/>
        <w:spacing w:before="0" w:beforeAutospacing="0" w:after="0" w:afterAutospacing="0" w:line="480" w:lineRule="auto"/>
        <w:jc w:val="both"/>
        <w:rPr>
          <w:rFonts w:asciiTheme="majorBidi" w:hAnsiTheme="majorBidi" w:cstheme="majorBidi"/>
          <w:color w:val="1C1E29"/>
        </w:rPr>
      </w:pPr>
      <w:r w:rsidRPr="00FE2A55">
        <w:rPr>
          <w:rFonts w:asciiTheme="majorBidi" w:hAnsiTheme="majorBidi" w:cstheme="majorBidi"/>
          <w:color w:val="1C1E29"/>
        </w:rPr>
        <w:t xml:space="preserve">All experimental protocols were followed by guidelines on the ethical standard for investigation of morphine tolerance and </w:t>
      </w:r>
      <w:r w:rsidRPr="000A458E">
        <w:rPr>
          <w:rFonts w:asciiTheme="majorBidi" w:hAnsiTheme="majorBidi" w:cstheme="majorBidi"/>
          <w:color w:val="1C1E29"/>
        </w:rPr>
        <w:t>hyperalgesia in animals by the Animal Ethics Committee of Shahid Beheshti University of Medical Sciences, Tehran, Iran (IR.SBMU.MSP.REC.1397.272</w:t>
      </w:r>
      <w:r>
        <w:rPr>
          <w:rFonts w:asciiTheme="majorBidi" w:hAnsiTheme="majorBidi" w:cstheme="majorBidi"/>
          <w:color w:val="1C1E29"/>
        </w:rPr>
        <w:t>).</w:t>
      </w:r>
    </w:p>
    <w:p w14:paraId="477AD41B" w14:textId="77777777" w:rsidR="008439C3" w:rsidRPr="00A37B6A" w:rsidRDefault="008439C3" w:rsidP="008439C3">
      <w:pPr>
        <w:shd w:val="clear" w:color="auto" w:fill="FFFFFF"/>
        <w:spacing w:before="100" w:beforeAutospacing="1" w:after="96" w:line="480" w:lineRule="auto"/>
        <w:jc w:val="both"/>
        <w:rPr>
          <w:rFonts w:asciiTheme="majorBidi" w:eastAsia="Times New Roman" w:hAnsiTheme="majorBidi" w:cstheme="majorBidi"/>
          <w:color w:val="000000" w:themeColor="text1"/>
          <w:sz w:val="24"/>
          <w:szCs w:val="24"/>
        </w:rPr>
      </w:pPr>
    </w:p>
    <w:p w14:paraId="4E27E53A" w14:textId="77777777" w:rsidR="008439C3" w:rsidRPr="004D3FAF" w:rsidRDefault="008439C3" w:rsidP="008439C3">
      <w:pPr>
        <w:shd w:val="clear" w:color="auto" w:fill="FFFFFF"/>
        <w:spacing w:before="100" w:beforeAutospacing="1" w:after="96" w:line="480" w:lineRule="auto"/>
        <w:jc w:val="both"/>
        <w:rPr>
          <w:rFonts w:asciiTheme="majorBidi" w:eastAsia="Times New Roman" w:hAnsiTheme="majorBidi" w:cstheme="majorBidi"/>
          <w:b/>
          <w:bCs/>
          <w:color w:val="000000" w:themeColor="text1"/>
          <w:sz w:val="24"/>
          <w:szCs w:val="24"/>
        </w:rPr>
      </w:pPr>
      <w:r w:rsidRPr="004D3FAF">
        <w:rPr>
          <w:rFonts w:asciiTheme="majorBidi" w:eastAsia="Times New Roman" w:hAnsiTheme="majorBidi" w:cstheme="majorBidi"/>
          <w:b/>
          <w:bCs/>
          <w:color w:val="000000" w:themeColor="text1"/>
          <w:sz w:val="24"/>
          <w:szCs w:val="24"/>
        </w:rPr>
        <w:t>Consent for publication</w:t>
      </w:r>
    </w:p>
    <w:p w14:paraId="6B91BE9B" w14:textId="77777777" w:rsidR="008439C3" w:rsidRPr="004E1E91" w:rsidRDefault="008439C3" w:rsidP="008439C3">
      <w:pPr>
        <w:shd w:val="clear" w:color="auto" w:fill="FFFFFF"/>
        <w:spacing w:before="100" w:beforeAutospacing="1" w:after="96" w:line="480" w:lineRule="auto"/>
        <w:jc w:val="both"/>
        <w:rPr>
          <w:rFonts w:asciiTheme="majorBidi" w:eastAsia="Times New Roman" w:hAnsiTheme="majorBidi" w:cstheme="majorBidi"/>
          <w:color w:val="000000" w:themeColor="text1"/>
          <w:sz w:val="24"/>
          <w:szCs w:val="24"/>
        </w:rPr>
      </w:pPr>
      <w:r w:rsidRPr="004E1E91">
        <w:rPr>
          <w:rFonts w:asciiTheme="majorBidi" w:hAnsiTheme="majorBidi" w:cstheme="majorBidi"/>
          <w:sz w:val="24"/>
          <w:szCs w:val="24"/>
        </w:rPr>
        <w:t>A copy of the consent form is available for review by the Editor of this journal</w:t>
      </w:r>
      <w:r>
        <w:rPr>
          <w:rFonts w:asciiTheme="majorBidi" w:hAnsiTheme="majorBidi" w:cstheme="majorBidi"/>
          <w:sz w:val="24"/>
          <w:szCs w:val="24"/>
        </w:rPr>
        <w:t>.</w:t>
      </w:r>
    </w:p>
    <w:p w14:paraId="514A26A9" w14:textId="77777777" w:rsidR="008439C3" w:rsidRPr="00A37B6A" w:rsidRDefault="008439C3" w:rsidP="008439C3">
      <w:pPr>
        <w:shd w:val="clear" w:color="auto" w:fill="FFFFFF"/>
        <w:spacing w:before="100" w:beforeAutospacing="1" w:after="96" w:line="480" w:lineRule="auto"/>
        <w:jc w:val="both"/>
        <w:rPr>
          <w:rFonts w:asciiTheme="majorBidi" w:eastAsia="Times New Roman" w:hAnsiTheme="majorBidi" w:cstheme="majorBidi"/>
          <w:b/>
          <w:bCs/>
          <w:color w:val="000000" w:themeColor="text1"/>
          <w:sz w:val="24"/>
          <w:szCs w:val="24"/>
        </w:rPr>
      </w:pPr>
      <w:r w:rsidRPr="00A37B6A">
        <w:rPr>
          <w:rFonts w:asciiTheme="majorBidi" w:eastAsia="Times New Roman" w:hAnsiTheme="majorBidi" w:cstheme="majorBidi"/>
          <w:b/>
          <w:bCs/>
          <w:color w:val="000000" w:themeColor="text1"/>
          <w:sz w:val="24"/>
          <w:szCs w:val="24"/>
        </w:rPr>
        <w:t>Availability of data and materials</w:t>
      </w:r>
    </w:p>
    <w:p w14:paraId="24BA0008" w14:textId="77777777" w:rsidR="008439C3" w:rsidRPr="0040374D" w:rsidRDefault="008439C3" w:rsidP="008439C3">
      <w:pPr>
        <w:shd w:val="clear" w:color="auto" w:fill="FFFFFF"/>
        <w:spacing w:before="100" w:beforeAutospacing="1" w:after="96" w:line="480" w:lineRule="auto"/>
        <w:jc w:val="both"/>
        <w:rPr>
          <w:rFonts w:asciiTheme="majorBidi" w:eastAsia="Times New Roman" w:hAnsiTheme="majorBidi" w:cstheme="majorBidi"/>
          <w:color w:val="000000" w:themeColor="text1"/>
        </w:rPr>
      </w:pPr>
      <w:r w:rsidRPr="0040374D">
        <w:rPr>
          <w:rFonts w:asciiTheme="majorBidi" w:hAnsiTheme="majorBidi" w:cstheme="majorBidi"/>
          <w:color w:val="000000" w:themeColor="text1"/>
          <w:sz w:val="24"/>
          <w:szCs w:val="24"/>
          <w:shd w:val="clear" w:color="auto" w:fill="FFFFFF"/>
        </w:rPr>
        <w:t xml:space="preserve">The datasets used and/or </w:t>
      </w:r>
      <w:proofErr w:type="spellStart"/>
      <w:r w:rsidRPr="0040374D">
        <w:rPr>
          <w:rFonts w:asciiTheme="majorBidi" w:hAnsiTheme="majorBidi" w:cstheme="majorBidi"/>
          <w:color w:val="000000" w:themeColor="text1"/>
          <w:sz w:val="24"/>
          <w:szCs w:val="24"/>
          <w:shd w:val="clear" w:color="auto" w:fill="FFFFFF"/>
        </w:rPr>
        <w:t>analyzed</w:t>
      </w:r>
      <w:proofErr w:type="spellEnd"/>
      <w:r w:rsidRPr="0040374D">
        <w:rPr>
          <w:rFonts w:asciiTheme="majorBidi" w:hAnsiTheme="majorBidi" w:cstheme="majorBidi"/>
          <w:color w:val="000000" w:themeColor="text1"/>
          <w:sz w:val="24"/>
          <w:szCs w:val="24"/>
          <w:shd w:val="clear" w:color="auto" w:fill="FFFFFF"/>
        </w:rPr>
        <w:t xml:space="preserve"> during the current study available from the corresponding author on reasonable request.</w:t>
      </w:r>
    </w:p>
    <w:p w14:paraId="0E9FF632" w14:textId="77777777" w:rsidR="008439C3" w:rsidRPr="00A37B6A" w:rsidRDefault="008439C3" w:rsidP="008439C3">
      <w:pPr>
        <w:shd w:val="clear" w:color="auto" w:fill="FFFFFF"/>
        <w:spacing w:before="100" w:beforeAutospacing="1" w:after="96" w:line="480" w:lineRule="auto"/>
        <w:jc w:val="both"/>
        <w:rPr>
          <w:rFonts w:asciiTheme="majorBidi" w:eastAsia="Times New Roman" w:hAnsiTheme="majorBidi" w:cstheme="majorBidi"/>
          <w:b/>
          <w:bCs/>
          <w:color w:val="000000" w:themeColor="text1"/>
          <w:sz w:val="24"/>
          <w:szCs w:val="24"/>
        </w:rPr>
      </w:pPr>
      <w:r w:rsidRPr="00A37B6A">
        <w:rPr>
          <w:rFonts w:asciiTheme="majorBidi" w:eastAsia="Times New Roman" w:hAnsiTheme="majorBidi" w:cstheme="majorBidi"/>
          <w:b/>
          <w:bCs/>
          <w:color w:val="000000" w:themeColor="text1"/>
          <w:sz w:val="24"/>
          <w:szCs w:val="24"/>
        </w:rPr>
        <w:t>Competing interests</w:t>
      </w:r>
    </w:p>
    <w:p w14:paraId="29B493FD" w14:textId="77777777" w:rsidR="008439C3" w:rsidRPr="004E1E91" w:rsidRDefault="008439C3" w:rsidP="008439C3">
      <w:pPr>
        <w:spacing w:line="480" w:lineRule="auto"/>
        <w:jc w:val="both"/>
        <w:rPr>
          <w:rFonts w:asciiTheme="majorBidi" w:hAnsiTheme="majorBidi" w:cstheme="majorBidi"/>
        </w:rPr>
      </w:pPr>
      <w:r w:rsidRPr="004D3FAF">
        <w:rPr>
          <w:rFonts w:asciiTheme="majorBidi" w:hAnsiTheme="majorBidi" w:cstheme="majorBidi"/>
          <w:sz w:val="24"/>
          <w:szCs w:val="24"/>
        </w:rPr>
        <w:t>The authors declare that they have no conflict of interests</w:t>
      </w:r>
      <w:r w:rsidRPr="004D3FAF">
        <w:rPr>
          <w:rFonts w:asciiTheme="majorBidi" w:hAnsiTheme="majorBidi" w:cstheme="majorBidi"/>
        </w:rPr>
        <w:t>.</w:t>
      </w:r>
    </w:p>
    <w:p w14:paraId="0F9E10C1" w14:textId="77777777" w:rsidR="008439C3" w:rsidRPr="00A37B6A" w:rsidRDefault="008439C3" w:rsidP="008439C3">
      <w:pPr>
        <w:shd w:val="clear" w:color="auto" w:fill="FFFFFF"/>
        <w:spacing w:before="100" w:beforeAutospacing="1" w:after="96" w:line="480" w:lineRule="auto"/>
        <w:jc w:val="both"/>
        <w:rPr>
          <w:rFonts w:asciiTheme="majorBidi" w:eastAsia="Times New Roman" w:hAnsiTheme="majorBidi" w:cstheme="majorBidi"/>
          <w:b/>
          <w:bCs/>
          <w:color w:val="000000" w:themeColor="text1"/>
          <w:sz w:val="24"/>
          <w:szCs w:val="24"/>
        </w:rPr>
      </w:pPr>
      <w:r w:rsidRPr="00A37B6A">
        <w:rPr>
          <w:rFonts w:asciiTheme="majorBidi" w:eastAsia="Times New Roman" w:hAnsiTheme="majorBidi" w:cstheme="majorBidi"/>
          <w:b/>
          <w:bCs/>
          <w:color w:val="000000" w:themeColor="text1"/>
          <w:sz w:val="24"/>
          <w:szCs w:val="24"/>
        </w:rPr>
        <w:t>Funding</w:t>
      </w:r>
    </w:p>
    <w:p w14:paraId="3DF5664C" w14:textId="77777777" w:rsidR="008439C3" w:rsidRPr="004D3FAF" w:rsidRDefault="008439C3" w:rsidP="008439C3">
      <w:pPr>
        <w:spacing w:line="480" w:lineRule="auto"/>
        <w:jc w:val="both"/>
        <w:rPr>
          <w:rFonts w:asciiTheme="majorBidi" w:hAnsiTheme="majorBidi" w:cstheme="majorBidi"/>
          <w:lang w:bidi="fa-IR"/>
        </w:rPr>
      </w:pPr>
      <w:r w:rsidRPr="004D3FAF">
        <w:rPr>
          <w:rFonts w:asciiTheme="majorBidi" w:eastAsia="Times New Roman" w:hAnsiTheme="majorBidi" w:cstheme="majorBidi"/>
          <w:color w:val="000000" w:themeColor="text1"/>
        </w:rPr>
        <w:t xml:space="preserve">This study was supported by Research </w:t>
      </w:r>
      <w:r>
        <w:rPr>
          <w:rFonts w:asciiTheme="majorBidi" w:eastAsia="Times New Roman" w:hAnsiTheme="majorBidi" w:cstheme="majorBidi"/>
          <w:color w:val="000000" w:themeColor="text1"/>
        </w:rPr>
        <w:t>D</w:t>
      </w:r>
      <w:r w:rsidRPr="004D3FAF">
        <w:rPr>
          <w:rFonts w:asciiTheme="majorBidi" w:eastAsia="Times New Roman" w:hAnsiTheme="majorBidi" w:cstheme="majorBidi"/>
          <w:color w:val="000000" w:themeColor="text1"/>
        </w:rPr>
        <w:t xml:space="preserve">epartment of the </w:t>
      </w:r>
      <w:r w:rsidRPr="004D3FAF">
        <w:rPr>
          <w:rFonts w:asciiTheme="majorBidi" w:hAnsiTheme="majorBidi" w:cstheme="majorBidi"/>
          <w:lang w:bidi="fa-IR"/>
        </w:rPr>
        <w:t>School of</w:t>
      </w:r>
      <w:r w:rsidRPr="004D3FAF">
        <w:rPr>
          <w:rFonts w:asciiTheme="majorBidi" w:eastAsia="Times New Roman" w:hAnsiTheme="majorBidi" w:cstheme="majorBidi"/>
          <w:color w:val="000000" w:themeColor="text1"/>
        </w:rPr>
        <w:t xml:space="preserve"> </w:t>
      </w:r>
      <w:r w:rsidRPr="004D3FAF">
        <w:rPr>
          <w:rFonts w:asciiTheme="majorBidi" w:hAnsiTheme="majorBidi" w:cstheme="majorBidi"/>
          <w:lang w:bidi="fa-IR"/>
        </w:rPr>
        <w:t>Medicine, Shahid Beheshti University of Medical Sciences, Tehran, Iran.</w:t>
      </w:r>
    </w:p>
    <w:p w14:paraId="0A625591" w14:textId="77777777" w:rsidR="008439C3" w:rsidRDefault="008439C3" w:rsidP="008439C3">
      <w:pPr>
        <w:shd w:val="clear" w:color="auto" w:fill="FFFFFF"/>
        <w:spacing w:before="100" w:beforeAutospacing="1" w:after="96" w:line="480" w:lineRule="auto"/>
        <w:jc w:val="both"/>
        <w:rPr>
          <w:rFonts w:asciiTheme="majorBidi" w:eastAsia="Times New Roman" w:hAnsiTheme="majorBidi" w:cstheme="majorBidi"/>
          <w:b/>
          <w:bCs/>
          <w:color w:val="000000" w:themeColor="text1"/>
          <w:sz w:val="20"/>
          <w:szCs w:val="20"/>
        </w:rPr>
      </w:pPr>
    </w:p>
    <w:p w14:paraId="79795AFD" w14:textId="77777777" w:rsidR="008439C3" w:rsidRPr="00A37B6A" w:rsidRDefault="008439C3" w:rsidP="008439C3">
      <w:pPr>
        <w:shd w:val="clear" w:color="auto" w:fill="FFFFFF"/>
        <w:spacing w:before="100" w:beforeAutospacing="1" w:after="96" w:line="480" w:lineRule="auto"/>
        <w:jc w:val="both"/>
        <w:rPr>
          <w:rFonts w:asciiTheme="majorBidi" w:eastAsia="Times New Roman" w:hAnsiTheme="majorBidi" w:cstheme="majorBidi"/>
          <w:b/>
          <w:bCs/>
          <w:color w:val="000000" w:themeColor="text1"/>
          <w:sz w:val="24"/>
          <w:szCs w:val="24"/>
        </w:rPr>
      </w:pPr>
      <w:r w:rsidRPr="00A37B6A">
        <w:rPr>
          <w:rFonts w:asciiTheme="majorBidi" w:eastAsia="Times New Roman" w:hAnsiTheme="majorBidi" w:cstheme="majorBidi"/>
          <w:b/>
          <w:bCs/>
          <w:color w:val="000000" w:themeColor="text1"/>
          <w:sz w:val="24"/>
          <w:szCs w:val="24"/>
        </w:rPr>
        <w:t>Authors' information (optional)</w:t>
      </w:r>
    </w:p>
    <w:p w14:paraId="3FA48868" w14:textId="77777777" w:rsidR="008439C3" w:rsidRPr="00946EC9" w:rsidRDefault="008439C3" w:rsidP="008439C3">
      <w:pPr>
        <w:pStyle w:val="NormalWeb"/>
        <w:spacing w:before="0" w:beforeAutospacing="0" w:after="0" w:afterAutospacing="0" w:line="360" w:lineRule="auto"/>
        <w:jc w:val="both"/>
        <w:rPr>
          <w:rFonts w:asciiTheme="majorBidi" w:hAnsiTheme="majorBidi" w:cstheme="majorBidi"/>
          <w:color w:val="1C1E29"/>
          <w:sz w:val="20"/>
          <w:szCs w:val="20"/>
        </w:rPr>
      </w:pPr>
      <w:r w:rsidRPr="00946EC9">
        <w:rPr>
          <w:rFonts w:asciiTheme="majorBidi" w:hAnsiTheme="majorBidi" w:cstheme="majorBidi"/>
          <w:color w:val="000000" w:themeColor="text1"/>
          <w:sz w:val="20"/>
          <w:szCs w:val="20"/>
          <w:vertAlign w:val="superscript"/>
        </w:rPr>
        <w:t>1</w:t>
      </w:r>
      <w:r w:rsidRPr="00946EC9">
        <w:rPr>
          <w:rFonts w:asciiTheme="majorBidi" w:hAnsiTheme="majorBidi" w:cstheme="majorBidi"/>
          <w:color w:val="1C1E29"/>
          <w:sz w:val="20"/>
          <w:szCs w:val="20"/>
        </w:rPr>
        <w:t>Department of Physiology, School of Medicine, Shahid Beheshti University of Medical Sciences, Tehran, Iran</w:t>
      </w:r>
    </w:p>
    <w:p w14:paraId="2611D839" w14:textId="77777777" w:rsidR="008439C3" w:rsidRPr="00946EC9" w:rsidRDefault="008439C3" w:rsidP="008439C3">
      <w:pPr>
        <w:shd w:val="clear" w:color="auto" w:fill="FFFFFF"/>
        <w:spacing w:before="100" w:beforeAutospacing="1" w:after="96" w:line="360" w:lineRule="auto"/>
        <w:jc w:val="both"/>
        <w:rPr>
          <w:rFonts w:asciiTheme="majorBidi" w:hAnsiTheme="majorBidi" w:cstheme="majorBidi"/>
          <w:color w:val="1C1E29"/>
          <w:sz w:val="20"/>
          <w:szCs w:val="20"/>
        </w:rPr>
      </w:pPr>
      <w:r w:rsidRPr="00946EC9">
        <w:rPr>
          <w:rFonts w:asciiTheme="majorBidi" w:hAnsiTheme="majorBidi" w:cstheme="majorBidi"/>
          <w:color w:val="1C1E29"/>
          <w:sz w:val="20"/>
          <w:szCs w:val="20"/>
          <w:vertAlign w:val="superscript"/>
        </w:rPr>
        <w:t>2</w:t>
      </w:r>
      <w:r w:rsidRPr="00946EC9">
        <w:rPr>
          <w:rFonts w:asciiTheme="majorBidi" w:hAnsiTheme="majorBidi" w:cstheme="majorBidi"/>
          <w:color w:val="1C1E29"/>
          <w:sz w:val="20"/>
          <w:szCs w:val="20"/>
        </w:rPr>
        <w:t xml:space="preserve">Neurophysiology Research </w:t>
      </w:r>
      <w:proofErr w:type="spellStart"/>
      <w:r w:rsidRPr="00946EC9">
        <w:rPr>
          <w:rFonts w:asciiTheme="majorBidi" w:hAnsiTheme="majorBidi" w:cstheme="majorBidi"/>
          <w:color w:val="1C1E29"/>
          <w:sz w:val="20"/>
          <w:szCs w:val="20"/>
        </w:rPr>
        <w:t>Center</w:t>
      </w:r>
      <w:proofErr w:type="spellEnd"/>
      <w:r w:rsidRPr="00946EC9">
        <w:rPr>
          <w:rFonts w:asciiTheme="majorBidi" w:hAnsiTheme="majorBidi" w:cstheme="majorBidi"/>
          <w:color w:val="1C1E29"/>
          <w:sz w:val="20"/>
          <w:szCs w:val="20"/>
        </w:rPr>
        <w:t>, Shahid Beheshti University of Medical Sciences, Tehran, Iran</w:t>
      </w:r>
    </w:p>
    <w:p w14:paraId="15A0BF67" w14:textId="77777777" w:rsidR="008439C3" w:rsidRPr="00946EC9" w:rsidRDefault="008439C3" w:rsidP="008439C3">
      <w:pPr>
        <w:shd w:val="clear" w:color="auto" w:fill="FFFFFF"/>
        <w:spacing w:before="100" w:beforeAutospacing="1" w:after="96" w:line="480" w:lineRule="auto"/>
        <w:jc w:val="both"/>
        <w:rPr>
          <w:rFonts w:asciiTheme="majorBidi" w:eastAsia="Calibri" w:hAnsiTheme="majorBidi" w:cstheme="majorBidi"/>
          <w:color w:val="000000" w:themeColor="text1"/>
          <w:sz w:val="20"/>
          <w:szCs w:val="20"/>
          <w:rtl/>
        </w:rPr>
      </w:pPr>
    </w:p>
    <w:p w14:paraId="52DB8AD7" w14:textId="77777777" w:rsidR="008439C3" w:rsidRPr="00A37B6A" w:rsidRDefault="008439C3" w:rsidP="008439C3">
      <w:pPr>
        <w:shd w:val="clear" w:color="auto" w:fill="FFFFFF"/>
        <w:spacing w:before="100" w:beforeAutospacing="1" w:after="96" w:line="480" w:lineRule="auto"/>
        <w:jc w:val="both"/>
        <w:rPr>
          <w:rFonts w:asciiTheme="majorBidi" w:eastAsia="Times New Roman" w:hAnsiTheme="majorBidi" w:cstheme="majorBidi"/>
          <w:b/>
          <w:bCs/>
          <w:color w:val="000000" w:themeColor="text1"/>
          <w:sz w:val="24"/>
          <w:szCs w:val="24"/>
        </w:rPr>
      </w:pPr>
      <w:r w:rsidRPr="00A37B6A">
        <w:rPr>
          <w:rFonts w:asciiTheme="majorBidi" w:eastAsia="Times New Roman" w:hAnsiTheme="majorBidi" w:cstheme="majorBidi"/>
          <w:b/>
          <w:bCs/>
          <w:color w:val="000000" w:themeColor="text1"/>
          <w:sz w:val="24"/>
          <w:szCs w:val="24"/>
        </w:rPr>
        <w:t>Authors' contributions</w:t>
      </w:r>
    </w:p>
    <w:p w14:paraId="4B6A2B54" w14:textId="77777777" w:rsidR="008439C3" w:rsidRDefault="008439C3" w:rsidP="008439C3">
      <w:pPr>
        <w:shd w:val="clear" w:color="auto" w:fill="FFFFFF"/>
        <w:spacing w:before="100" w:beforeAutospacing="1" w:after="96" w:line="480" w:lineRule="auto"/>
        <w:rPr>
          <w:rFonts w:asciiTheme="majorBidi" w:hAnsiTheme="majorBidi" w:cstheme="majorBidi"/>
          <w:sz w:val="20"/>
          <w:szCs w:val="20"/>
          <w:lang w:bidi="fa-IR"/>
        </w:rPr>
      </w:pPr>
      <w:proofErr w:type="spellStart"/>
      <w:r w:rsidRPr="00450BBE">
        <w:rPr>
          <w:rFonts w:asciiTheme="majorBidi" w:hAnsiTheme="majorBidi" w:cstheme="majorBidi"/>
          <w:sz w:val="20"/>
          <w:szCs w:val="20"/>
          <w:lang w:bidi="fa-IR"/>
        </w:rPr>
        <w:lastRenderedPageBreak/>
        <w:t>Homa</w:t>
      </w:r>
      <w:proofErr w:type="spellEnd"/>
      <w:r w:rsidRPr="00450BBE">
        <w:rPr>
          <w:rFonts w:asciiTheme="majorBidi" w:hAnsiTheme="majorBidi" w:cstheme="majorBidi"/>
          <w:sz w:val="20"/>
          <w:szCs w:val="20"/>
          <w:lang w:bidi="fa-IR"/>
        </w:rPr>
        <w:t xml:space="preserve"> planned, designed</w:t>
      </w:r>
      <w:r w:rsidRPr="00450BBE">
        <w:rPr>
          <w:rFonts w:asciiTheme="majorBidi" w:hAnsiTheme="majorBidi" w:cstheme="majorBidi"/>
          <w:sz w:val="20"/>
          <w:szCs w:val="20"/>
          <w:vertAlign w:val="superscript"/>
          <w:lang w:bidi="fa-IR"/>
        </w:rPr>
        <w:t xml:space="preserve"> </w:t>
      </w:r>
      <w:r w:rsidRPr="00450BBE">
        <w:rPr>
          <w:rFonts w:asciiTheme="majorBidi" w:hAnsiTheme="majorBidi" w:cstheme="majorBidi"/>
          <w:sz w:val="20"/>
          <w:szCs w:val="20"/>
          <w:lang w:bidi="fa-IR"/>
        </w:rPr>
        <w:t xml:space="preserve">and conducted experiments. </w:t>
      </w:r>
      <w:proofErr w:type="spellStart"/>
      <w:r w:rsidRPr="00450BBE">
        <w:rPr>
          <w:rFonts w:asciiTheme="majorBidi" w:hAnsiTheme="majorBidi" w:cstheme="majorBidi"/>
          <w:sz w:val="20"/>
          <w:szCs w:val="20"/>
          <w:lang w:bidi="fa-IR"/>
        </w:rPr>
        <w:t>Mozhgan</w:t>
      </w:r>
      <w:proofErr w:type="spellEnd"/>
      <w:r w:rsidRPr="00450BBE">
        <w:rPr>
          <w:rFonts w:asciiTheme="majorBidi" w:hAnsiTheme="majorBidi" w:cstheme="majorBidi"/>
          <w:sz w:val="20"/>
          <w:szCs w:val="20"/>
          <w:lang w:bidi="fa-IR"/>
        </w:rPr>
        <w:t xml:space="preserve"> did </w:t>
      </w:r>
      <w:r>
        <w:rPr>
          <w:rFonts w:asciiTheme="majorBidi" w:hAnsiTheme="majorBidi" w:cstheme="majorBidi"/>
          <w:sz w:val="20"/>
          <w:szCs w:val="20"/>
          <w:lang w:bidi="fa-IR"/>
        </w:rPr>
        <w:t xml:space="preserve">all </w:t>
      </w:r>
      <w:r w:rsidRPr="00450BBE">
        <w:rPr>
          <w:rFonts w:asciiTheme="majorBidi" w:hAnsiTheme="majorBidi" w:cstheme="majorBidi"/>
          <w:sz w:val="20"/>
          <w:szCs w:val="20"/>
          <w:lang w:bidi="fa-IR"/>
        </w:rPr>
        <w:t>the</w:t>
      </w:r>
      <w:r>
        <w:rPr>
          <w:rFonts w:asciiTheme="majorBidi" w:hAnsiTheme="majorBidi" w:cstheme="majorBidi"/>
          <w:sz w:val="20"/>
          <w:szCs w:val="20"/>
          <w:lang w:bidi="fa-IR"/>
        </w:rPr>
        <w:t xml:space="preserve"> </w:t>
      </w:r>
      <w:r w:rsidRPr="00450BBE">
        <w:rPr>
          <w:rFonts w:asciiTheme="majorBidi" w:hAnsiTheme="majorBidi" w:cstheme="majorBidi"/>
          <w:sz w:val="20"/>
          <w:szCs w:val="20"/>
          <w:lang w:bidi="fa-IR"/>
        </w:rPr>
        <w:t>experiment</w:t>
      </w:r>
      <w:r>
        <w:rPr>
          <w:rFonts w:asciiTheme="majorBidi" w:hAnsiTheme="majorBidi" w:cstheme="majorBidi"/>
          <w:sz w:val="20"/>
          <w:szCs w:val="20"/>
          <w:lang w:bidi="fa-IR"/>
        </w:rPr>
        <w:t>al works</w:t>
      </w:r>
      <w:r w:rsidRPr="00450BBE">
        <w:rPr>
          <w:rFonts w:asciiTheme="majorBidi" w:hAnsiTheme="majorBidi" w:cstheme="majorBidi"/>
          <w:sz w:val="20"/>
          <w:szCs w:val="20"/>
          <w:lang w:bidi="fa-IR"/>
        </w:rPr>
        <w:t>.</w:t>
      </w:r>
      <w:r w:rsidRPr="00450BBE">
        <w:rPr>
          <w:rFonts w:asciiTheme="majorBidi" w:eastAsia="Times New Roman" w:hAnsiTheme="majorBidi" w:cstheme="majorBidi"/>
          <w:color w:val="000000" w:themeColor="text1"/>
          <w:sz w:val="20"/>
          <w:szCs w:val="20"/>
        </w:rPr>
        <w:t xml:space="preserve"> </w:t>
      </w:r>
      <w:r w:rsidRPr="00450BBE">
        <w:rPr>
          <w:rFonts w:asciiTheme="majorBidi" w:hAnsiTheme="majorBidi" w:cstheme="majorBidi"/>
          <w:sz w:val="20"/>
          <w:szCs w:val="20"/>
          <w:lang w:bidi="fa-IR"/>
        </w:rPr>
        <w:t xml:space="preserve">Jalal </w:t>
      </w:r>
      <w:r>
        <w:rPr>
          <w:rFonts w:asciiTheme="majorBidi" w:hAnsiTheme="majorBidi" w:cstheme="majorBidi"/>
          <w:sz w:val="20"/>
          <w:szCs w:val="20"/>
          <w:lang w:bidi="fa-IR"/>
        </w:rPr>
        <w:t xml:space="preserve">and </w:t>
      </w:r>
      <w:r w:rsidRPr="00450BBE">
        <w:rPr>
          <w:rFonts w:asciiTheme="majorBidi" w:hAnsiTheme="majorBidi" w:cstheme="majorBidi"/>
          <w:sz w:val="20"/>
          <w:szCs w:val="20"/>
          <w:lang w:bidi="fa-IR"/>
        </w:rPr>
        <w:t>Samira</w:t>
      </w:r>
      <w:r>
        <w:rPr>
          <w:rFonts w:asciiTheme="majorBidi" w:hAnsiTheme="majorBidi" w:cstheme="majorBidi"/>
          <w:sz w:val="20"/>
          <w:szCs w:val="20"/>
          <w:lang w:bidi="fa-IR"/>
        </w:rPr>
        <w:t xml:space="preserve"> contributed </w:t>
      </w:r>
      <w:r w:rsidRPr="00450BBE">
        <w:rPr>
          <w:rFonts w:asciiTheme="majorBidi" w:hAnsiTheme="majorBidi" w:cstheme="majorBidi"/>
          <w:sz w:val="20"/>
          <w:szCs w:val="20"/>
          <w:lang w:bidi="fa-IR"/>
        </w:rPr>
        <w:t>some part of western blotting</w:t>
      </w:r>
      <w:r>
        <w:rPr>
          <w:rFonts w:asciiTheme="majorBidi" w:hAnsiTheme="majorBidi" w:cstheme="majorBidi"/>
          <w:sz w:val="20"/>
          <w:szCs w:val="20"/>
          <w:lang w:bidi="fa-IR"/>
        </w:rPr>
        <w:t xml:space="preserve"> and </w:t>
      </w:r>
      <w:r w:rsidRPr="00450BBE">
        <w:rPr>
          <w:rFonts w:asciiTheme="majorBidi" w:hAnsiTheme="majorBidi" w:cstheme="majorBidi"/>
          <w:sz w:val="20"/>
          <w:szCs w:val="20"/>
          <w:lang w:bidi="fa-IR"/>
        </w:rPr>
        <w:t xml:space="preserve">of immunohistochemistry analysis interpretation </w:t>
      </w:r>
      <w:r>
        <w:rPr>
          <w:rFonts w:asciiTheme="majorBidi" w:hAnsiTheme="majorBidi" w:cstheme="majorBidi"/>
          <w:sz w:val="20"/>
          <w:szCs w:val="20"/>
          <w:lang w:bidi="fa-IR"/>
        </w:rPr>
        <w:t xml:space="preserve">respectively </w:t>
      </w:r>
      <w:r w:rsidRPr="00450BBE">
        <w:rPr>
          <w:rFonts w:asciiTheme="majorBidi" w:hAnsiTheme="majorBidi" w:cstheme="majorBidi"/>
          <w:sz w:val="20"/>
          <w:szCs w:val="20"/>
          <w:lang w:bidi="fa-IR"/>
        </w:rPr>
        <w:t>and revised some aspect of manuscript</w:t>
      </w:r>
      <w:r>
        <w:rPr>
          <w:rFonts w:asciiTheme="majorBidi" w:hAnsiTheme="majorBidi" w:cstheme="majorBidi"/>
          <w:sz w:val="20"/>
          <w:szCs w:val="20"/>
          <w:lang w:bidi="fa-IR"/>
        </w:rPr>
        <w:t>. All authors have read and approved the final manuscript.</w:t>
      </w:r>
    </w:p>
    <w:p w14:paraId="430D0B75" w14:textId="77777777" w:rsidR="008439C3" w:rsidRDefault="008439C3" w:rsidP="008439C3">
      <w:pPr>
        <w:shd w:val="clear" w:color="auto" w:fill="FFFFFF"/>
        <w:spacing w:before="100" w:beforeAutospacing="1" w:after="96" w:line="480" w:lineRule="auto"/>
        <w:rPr>
          <w:rFonts w:asciiTheme="majorBidi" w:hAnsiTheme="majorBidi" w:cstheme="majorBidi"/>
          <w:sz w:val="20"/>
          <w:szCs w:val="20"/>
        </w:rPr>
      </w:pPr>
    </w:p>
    <w:p w14:paraId="667D6E74" w14:textId="77777777" w:rsidR="008439C3" w:rsidRDefault="008439C3" w:rsidP="008439C3">
      <w:pPr>
        <w:shd w:val="clear" w:color="auto" w:fill="FFFFFF"/>
        <w:spacing w:before="100" w:beforeAutospacing="1" w:after="96" w:line="480" w:lineRule="auto"/>
        <w:rPr>
          <w:rFonts w:asciiTheme="majorBidi" w:hAnsiTheme="majorBidi" w:cstheme="majorBidi"/>
          <w:sz w:val="20"/>
          <w:szCs w:val="20"/>
        </w:rPr>
      </w:pPr>
    </w:p>
    <w:p w14:paraId="75034801" w14:textId="77777777" w:rsidR="008439C3" w:rsidRDefault="008439C3" w:rsidP="008439C3">
      <w:pPr>
        <w:shd w:val="clear" w:color="auto" w:fill="FFFFFF"/>
        <w:spacing w:before="100" w:beforeAutospacing="1" w:after="96" w:line="480" w:lineRule="auto"/>
        <w:rPr>
          <w:rFonts w:asciiTheme="majorBidi" w:hAnsiTheme="majorBidi" w:cstheme="majorBidi"/>
          <w:sz w:val="20"/>
          <w:szCs w:val="20"/>
        </w:rPr>
      </w:pPr>
    </w:p>
    <w:p w14:paraId="19EE55D6" w14:textId="77777777" w:rsidR="008439C3" w:rsidRDefault="008439C3" w:rsidP="008439C3">
      <w:pPr>
        <w:shd w:val="clear" w:color="auto" w:fill="FFFFFF"/>
        <w:spacing w:before="100" w:beforeAutospacing="1" w:after="96" w:line="480" w:lineRule="auto"/>
        <w:rPr>
          <w:rFonts w:asciiTheme="majorBidi" w:hAnsiTheme="majorBidi" w:cstheme="majorBidi"/>
          <w:sz w:val="20"/>
          <w:szCs w:val="20"/>
        </w:rPr>
      </w:pPr>
    </w:p>
    <w:p w14:paraId="675FB5CD" w14:textId="77777777" w:rsidR="008439C3" w:rsidRDefault="008439C3" w:rsidP="008439C3">
      <w:pPr>
        <w:shd w:val="clear" w:color="auto" w:fill="FFFFFF"/>
        <w:spacing w:before="100" w:beforeAutospacing="1" w:after="96" w:line="480" w:lineRule="auto"/>
        <w:rPr>
          <w:rFonts w:asciiTheme="majorBidi" w:hAnsiTheme="majorBidi" w:cstheme="majorBidi"/>
          <w:sz w:val="20"/>
          <w:szCs w:val="20"/>
        </w:rPr>
      </w:pPr>
    </w:p>
    <w:p w14:paraId="5DCE691D" w14:textId="77777777" w:rsidR="008439C3" w:rsidRDefault="008439C3" w:rsidP="008439C3">
      <w:pPr>
        <w:shd w:val="clear" w:color="auto" w:fill="FFFFFF"/>
        <w:spacing w:before="100" w:beforeAutospacing="1" w:after="96" w:line="480" w:lineRule="auto"/>
        <w:rPr>
          <w:rFonts w:asciiTheme="majorBidi" w:hAnsiTheme="majorBidi" w:cstheme="majorBidi"/>
          <w:sz w:val="20"/>
          <w:szCs w:val="20"/>
        </w:rPr>
      </w:pPr>
    </w:p>
    <w:p w14:paraId="52A3701A" w14:textId="77777777" w:rsidR="008439C3" w:rsidRPr="00450BBE" w:rsidRDefault="008439C3" w:rsidP="008439C3">
      <w:pPr>
        <w:shd w:val="clear" w:color="auto" w:fill="FFFFFF"/>
        <w:spacing w:before="100" w:beforeAutospacing="1" w:after="96" w:line="480" w:lineRule="auto"/>
        <w:rPr>
          <w:rFonts w:asciiTheme="majorBidi" w:hAnsiTheme="majorBidi" w:cstheme="majorBidi"/>
          <w:sz w:val="20"/>
          <w:szCs w:val="20"/>
        </w:rPr>
      </w:pPr>
    </w:p>
    <w:p w14:paraId="631064DE" w14:textId="77777777" w:rsidR="008439C3" w:rsidRPr="00765CCB" w:rsidRDefault="008439C3" w:rsidP="008439C3">
      <w:pPr>
        <w:spacing w:line="480" w:lineRule="auto"/>
        <w:jc w:val="both"/>
        <w:rPr>
          <w:rFonts w:asciiTheme="majorBidi" w:hAnsiTheme="majorBidi" w:cstheme="majorBidi"/>
          <w:b/>
          <w:bCs/>
          <w:sz w:val="24"/>
          <w:szCs w:val="24"/>
        </w:rPr>
      </w:pPr>
      <w:r w:rsidRPr="00A37B6A">
        <w:rPr>
          <w:rFonts w:asciiTheme="majorBidi" w:hAnsiTheme="majorBidi" w:cstheme="majorBidi"/>
          <w:b/>
          <w:bCs/>
          <w:sz w:val="24"/>
          <w:szCs w:val="24"/>
        </w:rPr>
        <w:t>References</w:t>
      </w:r>
    </w:p>
    <w:p w14:paraId="06FA872C" w14:textId="77777777" w:rsidR="008439C3" w:rsidRPr="00F934FA" w:rsidRDefault="008439C3" w:rsidP="008439C3">
      <w:pPr>
        <w:pStyle w:val="EndNoteBibliography"/>
        <w:spacing w:after="0"/>
      </w:pPr>
      <w:r w:rsidRPr="00A37B6A">
        <w:rPr>
          <w:rFonts w:asciiTheme="majorBidi" w:hAnsiTheme="majorBidi" w:cstheme="majorBidi"/>
          <w:b/>
          <w:bCs/>
          <w:color w:val="000000" w:themeColor="text1"/>
          <w:sz w:val="24"/>
          <w:szCs w:val="24"/>
        </w:rPr>
        <w:fldChar w:fldCharType="begin"/>
      </w:r>
      <w:r w:rsidRPr="00A37B6A">
        <w:rPr>
          <w:rFonts w:asciiTheme="majorBidi" w:hAnsiTheme="majorBidi" w:cstheme="majorBidi"/>
          <w:b/>
          <w:bCs/>
          <w:color w:val="000000" w:themeColor="text1"/>
          <w:sz w:val="24"/>
          <w:szCs w:val="24"/>
        </w:rPr>
        <w:instrText xml:space="preserve"> ADDIN EN.REFLIST </w:instrText>
      </w:r>
      <w:r w:rsidRPr="00A37B6A">
        <w:rPr>
          <w:rFonts w:asciiTheme="majorBidi" w:hAnsiTheme="majorBidi" w:cstheme="majorBidi"/>
          <w:b/>
          <w:bCs/>
          <w:color w:val="000000" w:themeColor="text1"/>
          <w:sz w:val="24"/>
          <w:szCs w:val="24"/>
        </w:rPr>
        <w:fldChar w:fldCharType="separate"/>
      </w:r>
      <w:r w:rsidRPr="00F934FA">
        <w:t>1.</w:t>
      </w:r>
      <w:r w:rsidRPr="00F934FA">
        <w:tab/>
        <w:t>Streit WJ, Walter SA, Pennell NA.</w:t>
      </w:r>
      <w:r>
        <w:t xml:space="preserve"> (1999)</w:t>
      </w:r>
      <w:r w:rsidRPr="00F934FA">
        <w:t xml:space="preserve"> Reactive microgliosis. </w:t>
      </w:r>
      <w:r w:rsidRPr="0047184B">
        <w:rPr>
          <w:i/>
          <w:iCs/>
        </w:rPr>
        <w:t>Progress in neurobiology</w:t>
      </w:r>
      <w:r w:rsidRPr="00F934FA">
        <w:t xml:space="preserve"> 57(6):563-81.</w:t>
      </w:r>
    </w:p>
    <w:p w14:paraId="54205363" w14:textId="77777777" w:rsidR="008439C3" w:rsidRPr="00F934FA" w:rsidRDefault="008439C3" w:rsidP="008439C3">
      <w:pPr>
        <w:pStyle w:val="EndNoteBibliography"/>
        <w:spacing w:after="0"/>
      </w:pPr>
      <w:r w:rsidRPr="00F934FA">
        <w:t>2.</w:t>
      </w:r>
      <w:r w:rsidRPr="00F934FA">
        <w:tab/>
        <w:t xml:space="preserve">Roeckel L-A, Le Coz G-M, Gavériaux-Ruff C, Simonin F. </w:t>
      </w:r>
      <w:r>
        <w:t xml:space="preserve">(2016) </w:t>
      </w:r>
      <w:r w:rsidRPr="00F934FA">
        <w:t xml:space="preserve">Opioid-induced hyperalgesia: cellular and molecular mechanisms. </w:t>
      </w:r>
      <w:r w:rsidRPr="0047184B">
        <w:rPr>
          <w:i/>
          <w:iCs/>
        </w:rPr>
        <w:t>Neuroscience</w:t>
      </w:r>
      <w:r w:rsidRPr="00F934FA">
        <w:t xml:space="preserve"> 338:160-82.</w:t>
      </w:r>
    </w:p>
    <w:p w14:paraId="772BE3D7" w14:textId="77777777" w:rsidR="008439C3" w:rsidRPr="00F934FA" w:rsidRDefault="008439C3" w:rsidP="008439C3">
      <w:pPr>
        <w:pStyle w:val="EndNoteBibliography"/>
        <w:spacing w:after="0"/>
      </w:pPr>
      <w:r w:rsidRPr="00F934FA">
        <w:t>3.</w:t>
      </w:r>
      <w:r w:rsidRPr="00F934FA">
        <w:tab/>
        <w:t xml:space="preserve">Trang T, Al-Hasani R, Salvemini D, Salter MW, Gutstein H, Cahill CM. </w:t>
      </w:r>
      <w:r>
        <w:t xml:space="preserve">(2015) </w:t>
      </w:r>
      <w:r w:rsidRPr="00F934FA">
        <w:t xml:space="preserve">Pain and poppies: the good, the bad, and the ugly of opioid analgesics. </w:t>
      </w:r>
      <w:r w:rsidRPr="0047184B">
        <w:rPr>
          <w:i/>
          <w:iCs/>
        </w:rPr>
        <w:t>Journal of Neuroscience</w:t>
      </w:r>
      <w:r w:rsidRPr="00F934FA">
        <w:t xml:space="preserve"> 35(41):13879-88.</w:t>
      </w:r>
    </w:p>
    <w:p w14:paraId="69D09801" w14:textId="77777777" w:rsidR="008439C3" w:rsidRPr="00F934FA" w:rsidRDefault="008439C3" w:rsidP="008439C3">
      <w:pPr>
        <w:pStyle w:val="EndNoteBibliography"/>
        <w:spacing w:after="0"/>
      </w:pPr>
      <w:r w:rsidRPr="00F934FA">
        <w:t>4.</w:t>
      </w:r>
      <w:r w:rsidRPr="00F934FA">
        <w:tab/>
        <w:t>Coull JA, Beggs S, Boudreau D, Boivin D, Tsuda M, Inoue K, et al.</w:t>
      </w:r>
      <w:r>
        <w:t xml:space="preserve"> (2005)</w:t>
      </w:r>
      <w:r w:rsidRPr="00F934FA">
        <w:t xml:space="preserve"> BDNF from microglia causes the shift in neuronal anion gradient underlying neuropathic pain.</w:t>
      </w:r>
      <w:r w:rsidRPr="0047184B">
        <w:rPr>
          <w:i/>
          <w:iCs/>
        </w:rPr>
        <w:t xml:space="preserve"> Nature</w:t>
      </w:r>
      <w:r w:rsidRPr="00F934FA">
        <w:t xml:space="preserve"> 438(7070):1017.</w:t>
      </w:r>
    </w:p>
    <w:p w14:paraId="02644398" w14:textId="77777777" w:rsidR="008439C3" w:rsidRPr="00F934FA" w:rsidRDefault="008439C3" w:rsidP="008439C3">
      <w:pPr>
        <w:pStyle w:val="EndNoteBibliography"/>
        <w:spacing w:after="0"/>
      </w:pPr>
      <w:r w:rsidRPr="00F934FA">
        <w:t>5.</w:t>
      </w:r>
      <w:r w:rsidRPr="00F934FA">
        <w:tab/>
        <w:t xml:space="preserve">Tsuda M, Shigemoto-Mogami Y, Koizumi S, Mizokoshi A, Kohsaka S, Salter MW, et al. </w:t>
      </w:r>
      <w:r>
        <w:t xml:space="preserve">(2003) </w:t>
      </w:r>
      <w:r w:rsidRPr="00F934FA">
        <w:t xml:space="preserve">P2X 4 receptors induced in spinal microglia gate tactile allodynia after nerve injury. </w:t>
      </w:r>
      <w:r w:rsidRPr="0047184B">
        <w:rPr>
          <w:i/>
          <w:iCs/>
        </w:rPr>
        <w:t>Nature</w:t>
      </w:r>
      <w:r w:rsidRPr="00F934FA">
        <w:t xml:space="preserve"> 424(6950):778.</w:t>
      </w:r>
    </w:p>
    <w:p w14:paraId="5B81E0E7" w14:textId="77777777" w:rsidR="008439C3" w:rsidRPr="00F934FA" w:rsidRDefault="008439C3" w:rsidP="008439C3">
      <w:pPr>
        <w:pStyle w:val="EndNoteBibliography"/>
        <w:spacing w:after="0"/>
      </w:pPr>
      <w:r w:rsidRPr="00F934FA">
        <w:t>6.</w:t>
      </w:r>
      <w:r w:rsidRPr="00F934FA">
        <w:tab/>
        <w:t xml:space="preserve">Rivera C, Voipio J, Payne JA, Ruusuvuori E, Lahtinen H, Lamsa K, et al. </w:t>
      </w:r>
      <w:r>
        <w:t xml:space="preserve">(1999) </w:t>
      </w:r>
      <w:r w:rsidRPr="00F934FA">
        <w:t xml:space="preserve">The K+/Cl− co-transporter KCC2 renders GABA hyperpolarizing during neuronal maturation. </w:t>
      </w:r>
      <w:r w:rsidRPr="0047184B">
        <w:rPr>
          <w:i/>
          <w:iCs/>
        </w:rPr>
        <w:t>Nature</w:t>
      </w:r>
      <w:r w:rsidRPr="00F934FA">
        <w:t xml:space="preserve"> 397(6716):251.</w:t>
      </w:r>
    </w:p>
    <w:p w14:paraId="209DF116" w14:textId="77777777" w:rsidR="008439C3" w:rsidRPr="00F934FA" w:rsidRDefault="008439C3" w:rsidP="008439C3">
      <w:pPr>
        <w:pStyle w:val="EndNoteBibliography"/>
        <w:spacing w:after="0"/>
      </w:pPr>
      <w:r w:rsidRPr="00F934FA">
        <w:t>7.</w:t>
      </w:r>
      <w:r w:rsidRPr="00F934FA">
        <w:tab/>
        <w:t>Rivera C, Li H, Thomas-Crusells J, Lahtinen H, Viitanen T, Nanobashvili A, et al.</w:t>
      </w:r>
      <w:r>
        <w:t xml:space="preserve"> (2002)</w:t>
      </w:r>
      <w:r w:rsidRPr="00F934FA">
        <w:t xml:space="preserve"> BDNF-induced TrkB activation down-regulates the K+–Cl− cotransporter KCC2 and impairs neuronal Cl− extrusion. </w:t>
      </w:r>
      <w:r w:rsidRPr="0047184B">
        <w:rPr>
          <w:i/>
          <w:iCs/>
        </w:rPr>
        <w:t>J Cell Biol</w:t>
      </w:r>
      <w:r w:rsidRPr="00F934FA">
        <w:t xml:space="preserve"> 159(5):747-52.</w:t>
      </w:r>
    </w:p>
    <w:p w14:paraId="6636AA70" w14:textId="77777777" w:rsidR="008439C3" w:rsidRPr="00F934FA" w:rsidRDefault="008439C3" w:rsidP="008439C3">
      <w:pPr>
        <w:pStyle w:val="EndNoteBibliography"/>
        <w:spacing w:after="0"/>
      </w:pPr>
      <w:r w:rsidRPr="00F934FA">
        <w:t>8.</w:t>
      </w:r>
      <w:r w:rsidRPr="00F934FA">
        <w:tab/>
        <w:t xml:space="preserve">Kaila K. </w:t>
      </w:r>
      <w:r>
        <w:t xml:space="preserve">(1994) </w:t>
      </w:r>
      <w:r w:rsidRPr="00F934FA">
        <w:t xml:space="preserve">Ionic basis of GABAA receptor channel function in the nervous system. </w:t>
      </w:r>
      <w:r w:rsidRPr="0047184B">
        <w:rPr>
          <w:i/>
          <w:iCs/>
        </w:rPr>
        <w:t>Progress in</w:t>
      </w:r>
      <w:r w:rsidRPr="00F934FA">
        <w:t xml:space="preserve"> </w:t>
      </w:r>
      <w:r w:rsidRPr="0047184B">
        <w:rPr>
          <w:i/>
          <w:iCs/>
        </w:rPr>
        <w:t>neurobiology</w:t>
      </w:r>
      <w:r w:rsidRPr="00F934FA">
        <w:t xml:space="preserve"> 42(4):489-537.</w:t>
      </w:r>
    </w:p>
    <w:p w14:paraId="5A357589" w14:textId="77777777" w:rsidR="008439C3" w:rsidRPr="00F934FA" w:rsidRDefault="008439C3" w:rsidP="008439C3">
      <w:pPr>
        <w:pStyle w:val="EndNoteBibliography"/>
        <w:spacing w:after="0"/>
      </w:pPr>
      <w:r w:rsidRPr="00F934FA">
        <w:t>9.</w:t>
      </w:r>
      <w:r w:rsidRPr="00F934FA">
        <w:tab/>
        <w:t xml:space="preserve">Jefferys J. </w:t>
      </w:r>
      <w:r>
        <w:t xml:space="preserve">(1995) </w:t>
      </w:r>
      <w:r w:rsidRPr="00F934FA">
        <w:t xml:space="preserve">Nonsynaptic modulation of neuronal activity in the brain: electric currents and extracellular ions. </w:t>
      </w:r>
      <w:r w:rsidRPr="0047184B">
        <w:rPr>
          <w:i/>
          <w:iCs/>
        </w:rPr>
        <w:t>Physiological reviews</w:t>
      </w:r>
      <w:r w:rsidRPr="00F934FA">
        <w:t xml:space="preserve"> 75(4):689-723.</w:t>
      </w:r>
    </w:p>
    <w:p w14:paraId="4FEAE35B" w14:textId="77777777" w:rsidR="008439C3" w:rsidRPr="00F934FA" w:rsidRDefault="008439C3" w:rsidP="008439C3">
      <w:pPr>
        <w:pStyle w:val="EndNoteBibliography"/>
        <w:spacing w:after="0"/>
      </w:pPr>
      <w:r w:rsidRPr="00F934FA">
        <w:t>10.</w:t>
      </w:r>
      <w:r w:rsidRPr="00F934FA">
        <w:tab/>
        <w:t>Shen K-F, Crain SM.</w:t>
      </w:r>
      <w:r>
        <w:t xml:space="preserve"> (1997) </w:t>
      </w:r>
      <w:r w:rsidRPr="00F934FA">
        <w:t xml:space="preserve">Ultra-low doses of naltrexone or etorphine increase morphine's antinociceptive potency and attenuate tolerance/dependence in mice. </w:t>
      </w:r>
      <w:r w:rsidRPr="0047184B">
        <w:rPr>
          <w:i/>
          <w:iCs/>
        </w:rPr>
        <w:t>Brain research</w:t>
      </w:r>
      <w:r>
        <w:t xml:space="preserve"> </w:t>
      </w:r>
      <w:r w:rsidRPr="00F934FA">
        <w:t>757(2):176-90.</w:t>
      </w:r>
    </w:p>
    <w:p w14:paraId="01210B0E" w14:textId="77777777" w:rsidR="008439C3" w:rsidRPr="00F934FA" w:rsidRDefault="008439C3" w:rsidP="008439C3">
      <w:pPr>
        <w:pStyle w:val="EndNoteBibliography"/>
        <w:spacing w:after="0"/>
      </w:pPr>
      <w:r w:rsidRPr="00F934FA">
        <w:t>11.</w:t>
      </w:r>
      <w:r w:rsidRPr="00F934FA">
        <w:tab/>
        <w:t>Powell KJ, Abul-Husn NS, Jhamandas A, Olmstead MC, Beninger RJ, Jhamandas K.</w:t>
      </w:r>
      <w:r>
        <w:t xml:space="preserve"> (2002)</w:t>
      </w:r>
      <w:r w:rsidRPr="00F934FA">
        <w:t xml:space="preserve"> Paradoxical effects of the opioid antagonist naltrexone on morphine analgesia, tolerance, and reward in rats. </w:t>
      </w:r>
      <w:r w:rsidRPr="0047184B">
        <w:rPr>
          <w:i/>
          <w:iCs/>
        </w:rPr>
        <w:t>Journal of Pharmacology and Experimental Therapeutics</w:t>
      </w:r>
      <w:r w:rsidRPr="00F934FA">
        <w:t xml:space="preserve"> 300(2):588-96.</w:t>
      </w:r>
    </w:p>
    <w:p w14:paraId="6BB1C843" w14:textId="77777777" w:rsidR="008439C3" w:rsidRPr="00F934FA" w:rsidRDefault="008439C3" w:rsidP="008439C3">
      <w:pPr>
        <w:pStyle w:val="EndNoteBibliography"/>
        <w:spacing w:after="0"/>
      </w:pPr>
      <w:r w:rsidRPr="00F934FA">
        <w:t>12.</w:t>
      </w:r>
      <w:r w:rsidRPr="00F934FA">
        <w:tab/>
        <w:t>Lin SL, Tsai RY, Tai YH, Cherng CH, Wu CT, Yeh CC, et al.</w:t>
      </w:r>
      <w:r>
        <w:t xml:space="preserve"> (2010)</w:t>
      </w:r>
      <w:r w:rsidRPr="00F934FA">
        <w:t xml:space="preserve"> Ultra-low dose naloxone upregulates interleukin-10 expression and suppresses neuroinflammation in morphine-tolerant rat spinal cords. </w:t>
      </w:r>
      <w:r w:rsidRPr="0047184B">
        <w:rPr>
          <w:i/>
          <w:iCs/>
        </w:rPr>
        <w:t>Behav Brain Res</w:t>
      </w:r>
      <w:r>
        <w:t xml:space="preserve"> </w:t>
      </w:r>
      <w:r w:rsidRPr="00F934FA">
        <w:t>207(1):30-6.</w:t>
      </w:r>
    </w:p>
    <w:p w14:paraId="1E5CAAAE" w14:textId="77777777" w:rsidR="008439C3" w:rsidRPr="00F934FA" w:rsidRDefault="008439C3" w:rsidP="008439C3">
      <w:pPr>
        <w:pStyle w:val="EndNoteBibliography"/>
        <w:spacing w:after="0"/>
      </w:pPr>
      <w:r w:rsidRPr="00F934FA">
        <w:t>13.</w:t>
      </w:r>
      <w:r w:rsidRPr="00F934FA">
        <w:tab/>
        <w:t>Tsai R-Y, Jang F-L, Tai Y-H, Lin S-L, Shen C-H, Wong C-S.</w:t>
      </w:r>
      <w:r>
        <w:t xml:space="preserve"> (2008)</w:t>
      </w:r>
      <w:r w:rsidRPr="00F934FA">
        <w:t xml:space="preserve"> Ultra-low-dose naloxone restores the antinociceptive effect of morphine and suppresses spinal neuroinflammation in PTX-treated rats. </w:t>
      </w:r>
      <w:r w:rsidRPr="005F0839">
        <w:rPr>
          <w:i/>
          <w:iCs/>
        </w:rPr>
        <w:t>Neuropsychopharmacology</w:t>
      </w:r>
      <w:r>
        <w:t xml:space="preserve"> </w:t>
      </w:r>
      <w:r w:rsidRPr="00F934FA">
        <w:t>33(11):2772.</w:t>
      </w:r>
    </w:p>
    <w:p w14:paraId="640C8949" w14:textId="77777777" w:rsidR="008439C3" w:rsidRPr="00F934FA" w:rsidRDefault="008439C3" w:rsidP="008439C3">
      <w:pPr>
        <w:pStyle w:val="EndNoteBibliography"/>
        <w:spacing w:after="0"/>
      </w:pPr>
      <w:r w:rsidRPr="00F934FA">
        <w:lastRenderedPageBreak/>
        <w:t>14.</w:t>
      </w:r>
      <w:r w:rsidRPr="00F934FA">
        <w:tab/>
        <w:t>Wang H-Y, Friedman E, Olmstead M, Burns L.</w:t>
      </w:r>
      <w:r>
        <w:t xml:space="preserve"> (2005)</w:t>
      </w:r>
      <w:r w:rsidRPr="00F934FA">
        <w:t xml:space="preserve"> Ultra-low-dose naloxone suppresses opioid tolerance, dependence and associated changes in Mu opioid receptor–G protein coupling and Gβγ signaling. </w:t>
      </w:r>
      <w:r w:rsidRPr="005F0839">
        <w:rPr>
          <w:i/>
          <w:iCs/>
        </w:rPr>
        <w:t>Neuroscience</w:t>
      </w:r>
      <w:r>
        <w:t xml:space="preserve"> </w:t>
      </w:r>
      <w:r w:rsidRPr="00F934FA">
        <w:t>135(1):247-61.</w:t>
      </w:r>
    </w:p>
    <w:p w14:paraId="4FFB9893" w14:textId="77777777" w:rsidR="008439C3" w:rsidRPr="00F934FA" w:rsidRDefault="008439C3" w:rsidP="008439C3">
      <w:pPr>
        <w:pStyle w:val="EndNoteBibliography"/>
        <w:spacing w:after="0"/>
      </w:pPr>
      <w:r w:rsidRPr="00F934FA">
        <w:t>15.</w:t>
      </w:r>
      <w:r w:rsidRPr="00F934FA">
        <w:tab/>
        <w:t>Mao J, Price DD, Mayer DJ.</w:t>
      </w:r>
      <w:r>
        <w:t xml:space="preserve"> (1994)</w:t>
      </w:r>
      <w:r w:rsidRPr="00F934FA">
        <w:t xml:space="preserve"> Thermal hyperalgesia in association with the development of morphine tolerance in rats: roles of excitatory amino acid receptors and protein kinase C.</w:t>
      </w:r>
      <w:r w:rsidRPr="005F0839">
        <w:rPr>
          <w:i/>
          <w:iCs/>
        </w:rPr>
        <w:t xml:space="preserve"> Journal of Neuroscience</w:t>
      </w:r>
      <w:r>
        <w:t xml:space="preserve"> </w:t>
      </w:r>
      <w:r w:rsidRPr="00F934FA">
        <w:t>14(4):2301-12.</w:t>
      </w:r>
    </w:p>
    <w:p w14:paraId="02191E31" w14:textId="77777777" w:rsidR="008439C3" w:rsidRPr="00F934FA" w:rsidRDefault="008439C3" w:rsidP="008439C3">
      <w:pPr>
        <w:pStyle w:val="EndNoteBibliography"/>
        <w:spacing w:after="0"/>
      </w:pPr>
      <w:r w:rsidRPr="00F934FA">
        <w:t>16.</w:t>
      </w:r>
      <w:r w:rsidRPr="00F934FA">
        <w:tab/>
        <w:t xml:space="preserve">Oladosu FA, Conrad MS, O’Buckley SC, Rashid NU, Slade GD, Nackley AG. </w:t>
      </w:r>
      <w:r>
        <w:t xml:space="preserve">(2015) </w:t>
      </w:r>
      <w:r w:rsidRPr="00F934FA">
        <w:t xml:space="preserve">Mu opioid splice variant MOR-1K contributes to the development of opioid-induced hyperalgesia. </w:t>
      </w:r>
      <w:r w:rsidRPr="003D04CB">
        <w:rPr>
          <w:i/>
          <w:iCs/>
        </w:rPr>
        <w:t>PloS one</w:t>
      </w:r>
      <w:r w:rsidRPr="00F934FA">
        <w:t xml:space="preserve"> 10(8):e0135711.</w:t>
      </w:r>
    </w:p>
    <w:p w14:paraId="18A7E8AA" w14:textId="77777777" w:rsidR="008439C3" w:rsidRPr="00F934FA" w:rsidRDefault="008439C3" w:rsidP="008439C3">
      <w:pPr>
        <w:pStyle w:val="EndNoteBibliography"/>
        <w:spacing w:after="0"/>
      </w:pPr>
      <w:r w:rsidRPr="00F934FA">
        <w:t>17.</w:t>
      </w:r>
      <w:r w:rsidRPr="00F934FA">
        <w:tab/>
        <w:t xml:space="preserve">Mao J. </w:t>
      </w:r>
      <w:r>
        <w:t xml:space="preserve">(2002) </w:t>
      </w:r>
      <w:r w:rsidRPr="00F934FA">
        <w:t xml:space="preserve">Opioid-induced abnormal pain sensitivity: implications in clinical opioid therapy. </w:t>
      </w:r>
      <w:r w:rsidRPr="005F0839">
        <w:rPr>
          <w:i/>
          <w:iCs/>
        </w:rPr>
        <w:t>Pain</w:t>
      </w:r>
      <w:r>
        <w:t xml:space="preserve"> </w:t>
      </w:r>
      <w:r w:rsidRPr="00F934FA">
        <w:t>100(3):213-7.</w:t>
      </w:r>
    </w:p>
    <w:p w14:paraId="7C957156" w14:textId="77777777" w:rsidR="008439C3" w:rsidRPr="00F934FA" w:rsidRDefault="008439C3" w:rsidP="008439C3">
      <w:pPr>
        <w:pStyle w:val="EndNoteBibliography"/>
        <w:spacing w:after="0"/>
      </w:pPr>
      <w:r w:rsidRPr="00F934FA">
        <w:t>18.</w:t>
      </w:r>
      <w:r w:rsidRPr="00F934FA">
        <w:tab/>
        <w:t xml:space="preserve">Hong Y, Wang D, Chabot J-G, Ma W, Chen P, Quirion R. </w:t>
      </w:r>
      <w:r>
        <w:t xml:space="preserve">(2010) </w:t>
      </w:r>
      <w:r w:rsidRPr="00F934FA">
        <w:t xml:space="preserve">A role for protein kinase C-dependent upregulation of adrenomedullin in the development of morphine tolerance in male rats. </w:t>
      </w:r>
      <w:r w:rsidRPr="003D04CB">
        <w:rPr>
          <w:i/>
          <w:iCs/>
        </w:rPr>
        <w:t>Journal of Neuroscience</w:t>
      </w:r>
      <w:r>
        <w:t xml:space="preserve"> </w:t>
      </w:r>
      <w:r w:rsidRPr="00F934FA">
        <w:t>30(37):12508-16.</w:t>
      </w:r>
    </w:p>
    <w:p w14:paraId="0C29EE33" w14:textId="77777777" w:rsidR="008439C3" w:rsidRPr="00F934FA" w:rsidRDefault="008439C3" w:rsidP="008439C3">
      <w:pPr>
        <w:pStyle w:val="EndNoteBibliography"/>
        <w:spacing w:after="0"/>
      </w:pPr>
      <w:r w:rsidRPr="00F934FA">
        <w:t>19.</w:t>
      </w:r>
      <w:r w:rsidRPr="00F934FA">
        <w:tab/>
        <w:t>Powell KJ, Ma W, Sutak M, Doods H, Quirion R, Jhamandas K.</w:t>
      </w:r>
      <w:r>
        <w:t xml:space="preserve"> (2000) </w:t>
      </w:r>
      <w:r w:rsidRPr="00F934FA">
        <w:t xml:space="preserve">Blockade and reversal of spinal morphine tolerance by peptide and non‐peptide calcitonin gene‐related peptide receptor antagonists. </w:t>
      </w:r>
      <w:r w:rsidRPr="003D04CB">
        <w:rPr>
          <w:i/>
          <w:iCs/>
        </w:rPr>
        <w:t>British journal of pharmacology</w:t>
      </w:r>
      <w:r>
        <w:t xml:space="preserve"> </w:t>
      </w:r>
      <w:r w:rsidRPr="00F934FA">
        <w:t>131(5):875-84.</w:t>
      </w:r>
    </w:p>
    <w:p w14:paraId="3FA3DB0A" w14:textId="77777777" w:rsidR="008439C3" w:rsidRPr="00F934FA" w:rsidRDefault="008439C3" w:rsidP="008439C3">
      <w:pPr>
        <w:pStyle w:val="EndNoteBibliography"/>
        <w:spacing w:after="0"/>
      </w:pPr>
      <w:r w:rsidRPr="00F934FA">
        <w:t>20.</w:t>
      </w:r>
      <w:r w:rsidRPr="00F934FA">
        <w:tab/>
        <w:t xml:space="preserve">Gu G, Kondo I, Hua X-Y, Yaksh TL. </w:t>
      </w:r>
      <w:r>
        <w:t xml:space="preserve">(2005) </w:t>
      </w:r>
      <w:r w:rsidRPr="00F934FA">
        <w:t xml:space="preserve">Resting and evoked spinal substance P release during chronic intrathecal morphine infusion: parallels with tolerance and dependence. </w:t>
      </w:r>
      <w:r w:rsidRPr="003D04CB">
        <w:rPr>
          <w:i/>
          <w:iCs/>
        </w:rPr>
        <w:t>Journal of Pharmacology and Experimental Therapeutics</w:t>
      </w:r>
      <w:r>
        <w:t xml:space="preserve"> </w:t>
      </w:r>
      <w:r w:rsidRPr="00F934FA">
        <w:t>314(3):1362-9.</w:t>
      </w:r>
    </w:p>
    <w:p w14:paraId="0C16F789" w14:textId="77777777" w:rsidR="008439C3" w:rsidRPr="00F934FA" w:rsidRDefault="008439C3" w:rsidP="008439C3">
      <w:pPr>
        <w:pStyle w:val="EndNoteBibliography"/>
        <w:spacing w:after="0"/>
      </w:pPr>
      <w:r w:rsidRPr="00F934FA">
        <w:t>21.</w:t>
      </w:r>
      <w:r w:rsidRPr="00F934FA">
        <w:tab/>
        <w:t xml:space="preserve">Song L, Wu C, Zuo Y. </w:t>
      </w:r>
      <w:r>
        <w:t xml:space="preserve">(2015) </w:t>
      </w:r>
      <w:r w:rsidRPr="00F934FA">
        <w:t xml:space="preserve">Melatonin prevents morphine-induced hyperalgesia and tolerance in rats: role of protein kinase C and N-methyl-D-aspartate receptors. </w:t>
      </w:r>
      <w:r w:rsidRPr="00C36297">
        <w:rPr>
          <w:i/>
          <w:iCs/>
        </w:rPr>
        <w:t>BMC anesthesiology</w:t>
      </w:r>
      <w:r>
        <w:t xml:space="preserve"> </w:t>
      </w:r>
      <w:r w:rsidRPr="00F934FA">
        <w:t>15(1):12.</w:t>
      </w:r>
    </w:p>
    <w:p w14:paraId="682301A2" w14:textId="77777777" w:rsidR="008439C3" w:rsidRPr="00F934FA" w:rsidRDefault="008439C3" w:rsidP="008439C3">
      <w:pPr>
        <w:pStyle w:val="EndNoteBibliography"/>
        <w:spacing w:after="0"/>
      </w:pPr>
      <w:r w:rsidRPr="00F934FA">
        <w:t>22.</w:t>
      </w:r>
      <w:r w:rsidRPr="00F934FA">
        <w:tab/>
        <w:t xml:space="preserve">Lin S-L, Tsai R-Y, Shen C-H, Lin F-H, Wang J-J, Hsin S-T, et al. </w:t>
      </w:r>
      <w:r>
        <w:t xml:space="preserve">(2010) </w:t>
      </w:r>
      <w:r w:rsidRPr="00F934FA">
        <w:t>Co-administration of ultra-low dose naloxone attenuates morphine tolerance in rats via attenuation of NMDA receptor neurotransmission and suppression of neuroinflammation in the spinal cords.</w:t>
      </w:r>
      <w:r w:rsidRPr="00C36297">
        <w:rPr>
          <w:i/>
          <w:iCs/>
        </w:rPr>
        <w:t xml:space="preserve"> Pharmacology Biochemistry and Behavior</w:t>
      </w:r>
      <w:r>
        <w:t xml:space="preserve"> </w:t>
      </w:r>
      <w:r w:rsidRPr="00F934FA">
        <w:t>96(2):236-45.</w:t>
      </w:r>
    </w:p>
    <w:p w14:paraId="22028CE7" w14:textId="77777777" w:rsidR="008439C3" w:rsidRPr="00F934FA" w:rsidRDefault="008439C3" w:rsidP="008439C3">
      <w:pPr>
        <w:pStyle w:val="EndNoteBibliography"/>
        <w:spacing w:after="0"/>
      </w:pPr>
      <w:r w:rsidRPr="00F934FA">
        <w:t>23.</w:t>
      </w:r>
      <w:r w:rsidRPr="00F934FA">
        <w:tab/>
        <w:t>Crain SM, Shen K-F.</w:t>
      </w:r>
      <w:r>
        <w:t xml:space="preserve"> (1995)</w:t>
      </w:r>
      <w:r w:rsidRPr="00F934FA">
        <w:t xml:space="preserve"> Ultra-low concentrations of naloxone selectively antagonize excitatory effects of morphine on sensory neurons, thereby increasing its antinociceptive potency and attenuating tolerance/dependence during chronic cotreatment. </w:t>
      </w:r>
      <w:r w:rsidRPr="00C36297">
        <w:rPr>
          <w:i/>
          <w:iCs/>
        </w:rPr>
        <w:t>Proceedings of the National Academy of Sciences</w:t>
      </w:r>
      <w:r w:rsidRPr="00F934FA">
        <w:t xml:space="preserve"> 92(23):10540-4.</w:t>
      </w:r>
    </w:p>
    <w:p w14:paraId="56E446B8" w14:textId="77777777" w:rsidR="008439C3" w:rsidRPr="00F934FA" w:rsidRDefault="008439C3" w:rsidP="008439C3">
      <w:pPr>
        <w:pStyle w:val="EndNoteBibliography"/>
        <w:spacing w:after="0"/>
      </w:pPr>
      <w:r w:rsidRPr="00F934FA">
        <w:t>24.</w:t>
      </w:r>
      <w:r w:rsidRPr="00F934FA">
        <w:tab/>
        <w:t xml:space="preserve">Mao J, Mayer DJ. </w:t>
      </w:r>
      <w:r>
        <w:t xml:space="preserve">(2001) </w:t>
      </w:r>
      <w:r w:rsidRPr="00F934FA">
        <w:t xml:space="preserve">Spinal cord neuroplasticity following repeated opioid exposure and its relation to pathological pain. </w:t>
      </w:r>
      <w:r w:rsidRPr="00C36297">
        <w:rPr>
          <w:i/>
          <w:iCs/>
        </w:rPr>
        <w:t>Annals of the New York Academy of Sciences</w:t>
      </w:r>
      <w:r>
        <w:t xml:space="preserve"> </w:t>
      </w:r>
      <w:r w:rsidRPr="00F934FA">
        <w:t>933(1):175-84.</w:t>
      </w:r>
    </w:p>
    <w:p w14:paraId="0E79E1A8" w14:textId="77777777" w:rsidR="008439C3" w:rsidRPr="00F934FA" w:rsidRDefault="008439C3" w:rsidP="008439C3">
      <w:pPr>
        <w:pStyle w:val="EndNoteBibliography"/>
        <w:spacing w:after="0"/>
      </w:pPr>
      <w:r w:rsidRPr="00F934FA">
        <w:t>25.</w:t>
      </w:r>
      <w:r w:rsidRPr="00F934FA">
        <w:tab/>
        <w:t xml:space="preserve">Crain SM, Shen K-F. </w:t>
      </w:r>
      <w:r>
        <w:t xml:space="preserve">(2000) </w:t>
      </w:r>
      <w:r w:rsidRPr="00F934FA">
        <w:t xml:space="preserve">Antagonists of excitatory opioid receptor functions enhance morphine's analgesic potency and attenuate opioid tolerance/dependence liability. </w:t>
      </w:r>
      <w:r w:rsidRPr="00C36297">
        <w:rPr>
          <w:i/>
          <w:iCs/>
        </w:rPr>
        <w:t>PAIN</w:t>
      </w:r>
      <w:r>
        <w:t xml:space="preserve"> </w:t>
      </w:r>
      <w:r w:rsidRPr="00F934FA">
        <w:t>84(2-3):121-31.</w:t>
      </w:r>
    </w:p>
    <w:p w14:paraId="74D29137" w14:textId="77777777" w:rsidR="008439C3" w:rsidRPr="00F934FA" w:rsidRDefault="008439C3" w:rsidP="008439C3">
      <w:pPr>
        <w:pStyle w:val="EndNoteBibliography"/>
        <w:spacing w:after="0"/>
      </w:pPr>
      <w:r w:rsidRPr="00F934FA">
        <w:t>26.</w:t>
      </w:r>
      <w:r w:rsidRPr="00F934FA">
        <w:tab/>
        <w:t xml:space="preserve">Ueda H, Fukushima N, Kitao T, Ge M, Takagi H. </w:t>
      </w:r>
      <w:r>
        <w:t xml:space="preserve">(1986) </w:t>
      </w:r>
      <w:r w:rsidRPr="00F934FA">
        <w:t xml:space="preserve">Low doses of naloxone produce analgesia in the mouse brain by blocking presynaptic autoinhibition of enkephalin release. </w:t>
      </w:r>
      <w:r w:rsidRPr="00C36297">
        <w:rPr>
          <w:i/>
          <w:iCs/>
        </w:rPr>
        <w:t>Neuroscience letters</w:t>
      </w:r>
      <w:r w:rsidRPr="00F934FA">
        <w:t xml:space="preserve"> 65(3):247-52.</w:t>
      </w:r>
    </w:p>
    <w:p w14:paraId="4D19EB1B" w14:textId="77777777" w:rsidR="008439C3" w:rsidRPr="00F934FA" w:rsidRDefault="008439C3" w:rsidP="008439C3">
      <w:pPr>
        <w:pStyle w:val="EndNoteBibliography"/>
        <w:spacing w:after="0"/>
      </w:pPr>
      <w:r w:rsidRPr="00F934FA">
        <w:t>27.</w:t>
      </w:r>
      <w:r w:rsidRPr="00F934FA">
        <w:tab/>
        <w:t xml:space="preserve">Wang H-Y, Frankfurt M, Burns LH. </w:t>
      </w:r>
      <w:r>
        <w:t xml:space="preserve">(2008) </w:t>
      </w:r>
      <w:r w:rsidRPr="00F934FA">
        <w:t xml:space="preserve">High-affinity naloxone binding to filamin A prevents mu opioid Receptor–Gs coupling underlying opioid tolerance and dependence. </w:t>
      </w:r>
      <w:r w:rsidRPr="00C36297">
        <w:rPr>
          <w:i/>
          <w:iCs/>
        </w:rPr>
        <w:t>PloS one</w:t>
      </w:r>
      <w:r>
        <w:t xml:space="preserve"> </w:t>
      </w:r>
      <w:r w:rsidRPr="00F934FA">
        <w:t>3(2):e1554.</w:t>
      </w:r>
    </w:p>
    <w:p w14:paraId="765D5C06" w14:textId="77777777" w:rsidR="008439C3" w:rsidRPr="00F934FA" w:rsidRDefault="008439C3" w:rsidP="008439C3">
      <w:pPr>
        <w:pStyle w:val="EndNoteBibliography"/>
        <w:spacing w:after="0"/>
      </w:pPr>
      <w:r w:rsidRPr="00F934FA">
        <w:t>28.</w:t>
      </w:r>
      <w:r w:rsidRPr="00F934FA">
        <w:tab/>
        <w:t xml:space="preserve">Wang H-Y, Burns LH. </w:t>
      </w:r>
      <w:r>
        <w:t xml:space="preserve">(2009) </w:t>
      </w:r>
      <w:r w:rsidRPr="00F934FA">
        <w:t xml:space="preserve">Naloxone's pentapeptide binding site on filamin A blocks mu opioid receptor–Gs coupling and CREB activation of acute morphine. </w:t>
      </w:r>
      <w:r w:rsidRPr="00C36297">
        <w:rPr>
          <w:i/>
          <w:iCs/>
        </w:rPr>
        <w:t>PloS one</w:t>
      </w:r>
      <w:r>
        <w:t xml:space="preserve"> </w:t>
      </w:r>
      <w:r w:rsidRPr="00F934FA">
        <w:t>4(1):e4282.</w:t>
      </w:r>
    </w:p>
    <w:p w14:paraId="76A03DA0" w14:textId="77777777" w:rsidR="008439C3" w:rsidRPr="00F934FA" w:rsidRDefault="008439C3" w:rsidP="008439C3">
      <w:pPr>
        <w:pStyle w:val="EndNoteBibliography"/>
        <w:spacing w:after="0"/>
      </w:pPr>
      <w:r w:rsidRPr="00F934FA">
        <w:t>29.</w:t>
      </w:r>
      <w:r w:rsidRPr="00F934FA">
        <w:tab/>
        <w:t xml:space="preserve">Yang C-P, Cherng C-H, Wu C-T, Huang H-Y, Tao P-L, Lee S-O, et al. </w:t>
      </w:r>
      <w:r>
        <w:t xml:space="preserve">(2013) </w:t>
      </w:r>
      <w:r w:rsidRPr="00F934FA">
        <w:t xml:space="preserve">Intrathecal ultra-low dose naloxone enhances the antihyperalgesic effects of morphine and attenuates tumor necrosis factor-α and tumor necrosis factor-α receptor 1 expression in the dorsal horn of rats with partial sciatic nerve transection. </w:t>
      </w:r>
      <w:r w:rsidRPr="00C36297">
        <w:rPr>
          <w:i/>
          <w:iCs/>
        </w:rPr>
        <w:t>Anesthesia &amp; Analgesia</w:t>
      </w:r>
      <w:r>
        <w:t xml:space="preserve"> </w:t>
      </w:r>
      <w:r w:rsidRPr="00F934FA">
        <w:t>117(6):1493-502.</w:t>
      </w:r>
    </w:p>
    <w:p w14:paraId="7C690F3E" w14:textId="77777777" w:rsidR="008439C3" w:rsidRPr="00F934FA" w:rsidRDefault="008439C3" w:rsidP="008439C3">
      <w:pPr>
        <w:pStyle w:val="EndNoteBibliography"/>
        <w:spacing w:after="0"/>
      </w:pPr>
      <w:r w:rsidRPr="00F934FA">
        <w:t>30.</w:t>
      </w:r>
      <w:r w:rsidRPr="00F934FA">
        <w:tab/>
        <w:t xml:space="preserve">Hübner CA, Stein V, Hermans-Borgmeyer I, Meyer T, Ballanyi K, Jentsch TJ. </w:t>
      </w:r>
      <w:r>
        <w:t xml:space="preserve">(2001) </w:t>
      </w:r>
      <w:r w:rsidRPr="00F934FA">
        <w:t xml:space="preserve">Disruption of KCC2 reveals an essential role of K-Cl cotransport already in early synaptic inhibition. </w:t>
      </w:r>
      <w:r w:rsidRPr="00C36297">
        <w:rPr>
          <w:i/>
          <w:iCs/>
        </w:rPr>
        <w:t>Neuron</w:t>
      </w:r>
      <w:r>
        <w:t xml:space="preserve"> </w:t>
      </w:r>
      <w:r w:rsidRPr="00F934FA">
        <w:t>30(2):515-24.</w:t>
      </w:r>
    </w:p>
    <w:p w14:paraId="657AC1EB" w14:textId="77777777" w:rsidR="008439C3" w:rsidRPr="00F934FA" w:rsidRDefault="008439C3" w:rsidP="008439C3">
      <w:pPr>
        <w:pStyle w:val="EndNoteBibliography"/>
        <w:spacing w:after="0"/>
      </w:pPr>
      <w:r w:rsidRPr="00F934FA">
        <w:t>31.</w:t>
      </w:r>
      <w:r w:rsidRPr="00F934FA">
        <w:tab/>
        <w:t xml:space="preserve">Kakazu Y, Uchida S, Nakagawa T, Akaike N, Nabekura J. </w:t>
      </w:r>
      <w:r>
        <w:t xml:space="preserve">(2000) </w:t>
      </w:r>
      <w:r w:rsidRPr="00F934FA">
        <w:t xml:space="preserve">Reversibility and cation selectivity of the K+-Cl− cotransport in rat central neurons. </w:t>
      </w:r>
      <w:r w:rsidRPr="00C36297">
        <w:rPr>
          <w:i/>
          <w:iCs/>
        </w:rPr>
        <w:t>Journal of Neurophysiology</w:t>
      </w:r>
      <w:r>
        <w:t xml:space="preserve"> </w:t>
      </w:r>
      <w:r w:rsidRPr="00F934FA">
        <w:t>84(1):281-8.</w:t>
      </w:r>
    </w:p>
    <w:p w14:paraId="316E5313" w14:textId="77777777" w:rsidR="008439C3" w:rsidRPr="00F934FA" w:rsidRDefault="008439C3" w:rsidP="008439C3">
      <w:pPr>
        <w:pStyle w:val="EndNoteBibliography"/>
        <w:spacing w:after="0"/>
      </w:pPr>
      <w:r w:rsidRPr="00F934FA">
        <w:t>32.</w:t>
      </w:r>
      <w:r w:rsidRPr="00F934FA">
        <w:tab/>
        <w:t>Xiao Y, Wu L, Zhou Q, Xiong W, Duan X, Huang X.</w:t>
      </w:r>
      <w:r>
        <w:t xml:space="preserve"> (2015)</w:t>
      </w:r>
      <w:r w:rsidRPr="00F934FA">
        <w:t xml:space="preserve"> A randomized clinical trial of the effects of ultra‐low‐dose naloxone infusion on postoperative opioid requirements and recovery. </w:t>
      </w:r>
      <w:r w:rsidRPr="00C36297">
        <w:rPr>
          <w:i/>
          <w:iCs/>
        </w:rPr>
        <w:t>Acta Anaesthesiologica Scandinavica</w:t>
      </w:r>
      <w:r>
        <w:t xml:space="preserve"> </w:t>
      </w:r>
      <w:r w:rsidRPr="00F934FA">
        <w:t>59(9):1194-203.</w:t>
      </w:r>
    </w:p>
    <w:p w14:paraId="7075DFA8" w14:textId="77777777" w:rsidR="008439C3" w:rsidRPr="00F934FA" w:rsidRDefault="008439C3" w:rsidP="008439C3">
      <w:pPr>
        <w:pStyle w:val="EndNoteBibliography"/>
        <w:spacing w:after="0"/>
      </w:pPr>
      <w:r w:rsidRPr="00F934FA">
        <w:t>33.</w:t>
      </w:r>
      <w:r w:rsidRPr="00F934FA">
        <w:tab/>
        <w:t xml:space="preserve">Amer AF, Omara AF. </w:t>
      </w:r>
      <w:r>
        <w:t xml:space="preserve">(2019) </w:t>
      </w:r>
      <w:r w:rsidRPr="00F934FA">
        <w:t xml:space="preserve">Small dose of naloxone as an adjuvant to bupivacaine in intrapleural infiltration after thoracotomy surgery: a prospective, controlled study. </w:t>
      </w:r>
      <w:r w:rsidRPr="00C36297">
        <w:rPr>
          <w:i/>
          <w:iCs/>
        </w:rPr>
        <w:t>The Korean journal of pain</w:t>
      </w:r>
      <w:r w:rsidRPr="00F934FA">
        <w:t xml:space="preserve"> 32(2):105.</w:t>
      </w:r>
    </w:p>
    <w:p w14:paraId="7512357A" w14:textId="77777777" w:rsidR="008439C3" w:rsidRPr="00F934FA" w:rsidRDefault="008439C3" w:rsidP="008439C3">
      <w:pPr>
        <w:pStyle w:val="EndNoteBibliography"/>
        <w:spacing w:after="0"/>
      </w:pPr>
      <w:r w:rsidRPr="00F934FA">
        <w:t>34.</w:t>
      </w:r>
      <w:r w:rsidRPr="00F934FA">
        <w:tab/>
        <w:t>Hosseininejad SM, Amiri MM, Bozorgi F, Montazar SH, Firouzian A, Moosazadeh M, et al.</w:t>
      </w:r>
      <w:r>
        <w:t xml:space="preserve"> (2019)</w:t>
      </w:r>
      <w:r w:rsidRPr="00F934FA">
        <w:t xml:space="preserve"> Does co-treatment with ultra-low-dose naloxone and morphine provide better analgesia in renal colic patients? </w:t>
      </w:r>
      <w:r w:rsidRPr="00C36297">
        <w:rPr>
          <w:i/>
          <w:iCs/>
        </w:rPr>
        <w:t>The American journal of emergency medicine</w:t>
      </w:r>
      <w:r>
        <w:t xml:space="preserve"> </w:t>
      </w:r>
      <w:r w:rsidRPr="00F934FA">
        <w:t>37(6):1025-32.</w:t>
      </w:r>
    </w:p>
    <w:p w14:paraId="569A767D" w14:textId="77777777" w:rsidR="008439C3" w:rsidRPr="00F934FA" w:rsidRDefault="008439C3" w:rsidP="008439C3">
      <w:pPr>
        <w:pStyle w:val="EndNoteBibliography"/>
        <w:spacing w:after="0"/>
      </w:pPr>
      <w:r w:rsidRPr="00F934FA">
        <w:t>35.</w:t>
      </w:r>
      <w:r w:rsidRPr="00F934FA">
        <w:tab/>
        <w:t xml:space="preserve">Takayama N, Ueda H. </w:t>
      </w:r>
      <w:r>
        <w:t xml:space="preserve">(2005) </w:t>
      </w:r>
      <w:r w:rsidRPr="00F934FA">
        <w:t xml:space="preserve">Morphine-induced chemotaxis and brain-derived neurotrophic factor expression in microglia. </w:t>
      </w:r>
      <w:r w:rsidRPr="00EC30F8">
        <w:rPr>
          <w:i/>
          <w:iCs/>
        </w:rPr>
        <w:t>J Neurosci</w:t>
      </w:r>
      <w:r>
        <w:t xml:space="preserve"> </w:t>
      </w:r>
      <w:r w:rsidRPr="00F934FA">
        <w:t>25(2):430-5.</w:t>
      </w:r>
    </w:p>
    <w:p w14:paraId="7EC08C46" w14:textId="77777777" w:rsidR="008439C3" w:rsidRPr="00F934FA" w:rsidRDefault="008439C3" w:rsidP="008439C3">
      <w:pPr>
        <w:pStyle w:val="EndNoteBibliography"/>
        <w:spacing w:after="0"/>
      </w:pPr>
      <w:r w:rsidRPr="00F934FA">
        <w:lastRenderedPageBreak/>
        <w:t>36.</w:t>
      </w:r>
      <w:r w:rsidRPr="00F934FA">
        <w:tab/>
        <w:t xml:space="preserve">Mattioli T-AM, Milne B, Cahill CM. </w:t>
      </w:r>
      <w:r>
        <w:t xml:space="preserve">(2010) </w:t>
      </w:r>
      <w:r w:rsidRPr="00F934FA">
        <w:t xml:space="preserve">Ultra-low dose naltrexone attenuates chronic morphine-induced gliosis in rats. </w:t>
      </w:r>
      <w:r w:rsidRPr="00EC30F8">
        <w:rPr>
          <w:i/>
          <w:iCs/>
        </w:rPr>
        <w:t>Molecular pain</w:t>
      </w:r>
      <w:r>
        <w:t xml:space="preserve"> </w:t>
      </w:r>
      <w:r w:rsidRPr="00F934FA">
        <w:t>6(1):22.</w:t>
      </w:r>
    </w:p>
    <w:p w14:paraId="3BD244BA" w14:textId="77777777" w:rsidR="008439C3" w:rsidRPr="00F934FA" w:rsidRDefault="008439C3" w:rsidP="008439C3">
      <w:pPr>
        <w:pStyle w:val="EndNoteBibliography"/>
      </w:pPr>
      <w:r w:rsidRPr="00F934FA">
        <w:t>37.</w:t>
      </w:r>
      <w:r w:rsidRPr="00F934FA">
        <w:tab/>
        <w:t xml:space="preserve">Liu B, Hong J-S. </w:t>
      </w:r>
      <w:r>
        <w:t xml:space="preserve">(2003) </w:t>
      </w:r>
      <w:r w:rsidRPr="00F934FA">
        <w:t xml:space="preserve">Role of microglia in inflammation-mediated neurodegenerative diseases: mechanisms and strategies for therapeutic intervention. </w:t>
      </w:r>
      <w:r w:rsidRPr="00EC30F8">
        <w:rPr>
          <w:i/>
          <w:iCs/>
        </w:rPr>
        <w:t>Journal of Pharmacology and Experimental Therapeutics</w:t>
      </w:r>
      <w:r>
        <w:t xml:space="preserve"> </w:t>
      </w:r>
      <w:r w:rsidRPr="00F934FA">
        <w:t>304(1):1-7.</w:t>
      </w:r>
    </w:p>
    <w:p w14:paraId="0CA3719C" w14:textId="77777777" w:rsidR="008439C3" w:rsidRPr="00A37B6A" w:rsidRDefault="008439C3" w:rsidP="008439C3">
      <w:pPr>
        <w:jc w:val="both"/>
        <w:rPr>
          <w:rFonts w:asciiTheme="majorBidi" w:hAnsiTheme="majorBidi" w:cstheme="majorBidi"/>
          <w:b/>
          <w:bCs/>
          <w:color w:val="000000" w:themeColor="text1"/>
          <w:sz w:val="24"/>
          <w:szCs w:val="24"/>
        </w:rPr>
      </w:pPr>
      <w:r w:rsidRPr="00A37B6A">
        <w:rPr>
          <w:rFonts w:asciiTheme="majorBidi" w:hAnsiTheme="majorBidi" w:cstheme="majorBidi"/>
          <w:b/>
          <w:bCs/>
          <w:color w:val="000000" w:themeColor="text1"/>
          <w:sz w:val="24"/>
          <w:szCs w:val="24"/>
        </w:rPr>
        <w:fldChar w:fldCharType="end"/>
      </w:r>
      <w:bookmarkEnd w:id="6"/>
    </w:p>
    <w:p w14:paraId="317720C1" w14:textId="77777777" w:rsidR="008439C3" w:rsidRPr="00F934FA" w:rsidRDefault="008439C3" w:rsidP="00A501A4">
      <w:pPr>
        <w:pStyle w:val="EndNoteBibliography"/>
      </w:pPr>
    </w:p>
    <w:p w14:paraId="170F6818" w14:textId="77777777" w:rsidR="00A501A4" w:rsidRPr="00A37B6A" w:rsidRDefault="00A501A4" w:rsidP="00A501A4">
      <w:pPr>
        <w:jc w:val="both"/>
        <w:rPr>
          <w:rFonts w:asciiTheme="majorBidi" w:hAnsiTheme="majorBidi" w:cstheme="majorBidi"/>
          <w:b/>
          <w:bCs/>
          <w:color w:val="000000" w:themeColor="text1"/>
          <w:sz w:val="24"/>
          <w:szCs w:val="24"/>
        </w:rPr>
      </w:pPr>
      <w:r w:rsidRPr="00A37B6A">
        <w:rPr>
          <w:rFonts w:asciiTheme="majorBidi" w:hAnsiTheme="majorBidi" w:cstheme="majorBidi"/>
          <w:b/>
          <w:bCs/>
          <w:color w:val="000000" w:themeColor="text1"/>
          <w:sz w:val="24"/>
          <w:szCs w:val="24"/>
        </w:rPr>
        <w:fldChar w:fldCharType="end"/>
      </w:r>
    </w:p>
    <w:p w14:paraId="33CAD570" w14:textId="77777777" w:rsidR="00AA7B0F" w:rsidRPr="00AA7B0F" w:rsidRDefault="00AA7B0F" w:rsidP="001A5841">
      <w:pPr>
        <w:autoSpaceDE w:val="0"/>
        <w:autoSpaceDN w:val="0"/>
        <w:adjustRightInd w:val="0"/>
        <w:spacing w:after="0" w:line="240" w:lineRule="auto"/>
        <w:rPr>
          <w:rFonts w:ascii="Arial" w:hAnsi="Arial" w:cs="Arial"/>
          <w:b/>
          <w:bCs/>
          <w:sz w:val="18"/>
          <w:szCs w:val="18"/>
        </w:rPr>
      </w:pPr>
    </w:p>
    <w:sectPr w:rsidR="00AA7B0F" w:rsidRPr="00AA7B0F" w:rsidSect="00450565">
      <w:pgSz w:w="11906" w:h="16838"/>
      <w:pgMar w:top="1134" w:right="454" w:bottom="454" w:left="164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dvTT5ada87cc">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8A7D85"/>
    <w:multiLevelType w:val="hybridMultilevel"/>
    <w:tmpl w:val="1248B07C"/>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95D2B1D"/>
    <w:multiLevelType w:val="hybridMultilevel"/>
    <w:tmpl w:val="2AD6DAC8"/>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21446B0"/>
    <w:multiLevelType w:val="hybridMultilevel"/>
    <w:tmpl w:val="B1186BC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4D31AEF"/>
    <w:multiLevelType w:val="hybridMultilevel"/>
    <w:tmpl w:val="9C3083A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75C5EC0"/>
    <w:multiLevelType w:val="hybridMultilevel"/>
    <w:tmpl w:val="49580712"/>
    <w:lvl w:ilvl="0" w:tplc="BD1A1AEC">
      <w:start w:val="1"/>
      <w:numFmt w:val="lowerLetter"/>
      <w:lvlText w:val="%1."/>
      <w:lvlJc w:val="left"/>
      <w:pPr>
        <w:ind w:left="586" w:hanging="36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841"/>
    <w:rsid w:val="00023CDF"/>
    <w:rsid w:val="00027315"/>
    <w:rsid w:val="00062512"/>
    <w:rsid w:val="0006295E"/>
    <w:rsid w:val="00096E16"/>
    <w:rsid w:val="000B0CCD"/>
    <w:rsid w:val="000E5BBC"/>
    <w:rsid w:val="000F1408"/>
    <w:rsid w:val="00132EC3"/>
    <w:rsid w:val="00167F95"/>
    <w:rsid w:val="00186670"/>
    <w:rsid w:val="001A5841"/>
    <w:rsid w:val="001B23FE"/>
    <w:rsid w:val="001B64E1"/>
    <w:rsid w:val="001F56DC"/>
    <w:rsid w:val="00214F3D"/>
    <w:rsid w:val="00223E9E"/>
    <w:rsid w:val="00227F90"/>
    <w:rsid w:val="00240246"/>
    <w:rsid w:val="00282B0C"/>
    <w:rsid w:val="00294378"/>
    <w:rsid w:val="002C70B0"/>
    <w:rsid w:val="002D2B0E"/>
    <w:rsid w:val="002F58D3"/>
    <w:rsid w:val="00305CEF"/>
    <w:rsid w:val="003125A0"/>
    <w:rsid w:val="00327098"/>
    <w:rsid w:val="003415AA"/>
    <w:rsid w:val="00345E57"/>
    <w:rsid w:val="00367CC9"/>
    <w:rsid w:val="003813DD"/>
    <w:rsid w:val="003D7B62"/>
    <w:rsid w:val="003E3FB3"/>
    <w:rsid w:val="00450565"/>
    <w:rsid w:val="00454C23"/>
    <w:rsid w:val="00486C0B"/>
    <w:rsid w:val="004D4947"/>
    <w:rsid w:val="00502FCD"/>
    <w:rsid w:val="005906CF"/>
    <w:rsid w:val="00592170"/>
    <w:rsid w:val="006233B0"/>
    <w:rsid w:val="006331A4"/>
    <w:rsid w:val="00642640"/>
    <w:rsid w:val="0067771F"/>
    <w:rsid w:val="007001B4"/>
    <w:rsid w:val="0072765C"/>
    <w:rsid w:val="007569BD"/>
    <w:rsid w:val="007722C1"/>
    <w:rsid w:val="007757A0"/>
    <w:rsid w:val="00782044"/>
    <w:rsid w:val="007D2942"/>
    <w:rsid w:val="00833AC6"/>
    <w:rsid w:val="008439C3"/>
    <w:rsid w:val="008539EF"/>
    <w:rsid w:val="00871275"/>
    <w:rsid w:val="008B4D66"/>
    <w:rsid w:val="008B73BD"/>
    <w:rsid w:val="008E6F57"/>
    <w:rsid w:val="009168E6"/>
    <w:rsid w:val="009264EF"/>
    <w:rsid w:val="00954D5E"/>
    <w:rsid w:val="00960575"/>
    <w:rsid w:val="00983488"/>
    <w:rsid w:val="009844FC"/>
    <w:rsid w:val="009A7B41"/>
    <w:rsid w:val="009D55FE"/>
    <w:rsid w:val="00A501A4"/>
    <w:rsid w:val="00A91E59"/>
    <w:rsid w:val="00AA7B0F"/>
    <w:rsid w:val="00AC2FAA"/>
    <w:rsid w:val="00AC351C"/>
    <w:rsid w:val="00AF4C29"/>
    <w:rsid w:val="00B40528"/>
    <w:rsid w:val="00B41A55"/>
    <w:rsid w:val="00B574BF"/>
    <w:rsid w:val="00BF3308"/>
    <w:rsid w:val="00C30639"/>
    <w:rsid w:val="00C84482"/>
    <w:rsid w:val="00C972AD"/>
    <w:rsid w:val="00CB2973"/>
    <w:rsid w:val="00CC3AB0"/>
    <w:rsid w:val="00CD064B"/>
    <w:rsid w:val="00CE09D6"/>
    <w:rsid w:val="00CF13CC"/>
    <w:rsid w:val="00D66CD2"/>
    <w:rsid w:val="00D7777A"/>
    <w:rsid w:val="00DB23D3"/>
    <w:rsid w:val="00DC1614"/>
    <w:rsid w:val="00DD5F5D"/>
    <w:rsid w:val="00DE05A3"/>
    <w:rsid w:val="00DF3512"/>
    <w:rsid w:val="00E17C76"/>
    <w:rsid w:val="00E8188C"/>
    <w:rsid w:val="00E840DC"/>
    <w:rsid w:val="00ED1075"/>
    <w:rsid w:val="00EE683C"/>
    <w:rsid w:val="00F218EA"/>
    <w:rsid w:val="00F313B4"/>
    <w:rsid w:val="00F52457"/>
    <w:rsid w:val="00F62AE0"/>
    <w:rsid w:val="00F963A6"/>
    <w:rsid w:val="00FB06B6"/>
    <w:rsid w:val="00FB1FBF"/>
    <w:rsid w:val="00FC05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2CB24"/>
  <w15:docId w15:val="{475E40AC-23F6-4E9D-8200-C0FC08586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58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5841"/>
    <w:rPr>
      <w:rFonts w:ascii="Tahoma" w:hAnsi="Tahoma" w:cs="Tahoma"/>
      <w:sz w:val="16"/>
      <w:szCs w:val="16"/>
    </w:rPr>
  </w:style>
  <w:style w:type="table" w:styleId="TableGrid">
    <w:name w:val="Table Grid"/>
    <w:basedOn w:val="TableNormal"/>
    <w:uiPriority w:val="39"/>
    <w:rsid w:val="001A58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B23D3"/>
    <w:pPr>
      <w:ind w:left="720"/>
      <w:contextualSpacing/>
    </w:pPr>
  </w:style>
  <w:style w:type="paragraph" w:styleId="NormalWeb">
    <w:name w:val="Normal (Web)"/>
    <w:basedOn w:val="Normal"/>
    <w:uiPriority w:val="99"/>
    <w:unhideWhenUsed/>
    <w:rsid w:val="00CF13C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F13CC"/>
    <w:rPr>
      <w:b/>
      <w:bCs/>
    </w:rPr>
  </w:style>
  <w:style w:type="paragraph" w:styleId="NoSpacing">
    <w:name w:val="No Spacing"/>
    <w:uiPriority w:val="1"/>
    <w:qFormat/>
    <w:rsid w:val="00833AC6"/>
    <w:pPr>
      <w:spacing w:after="0" w:line="240" w:lineRule="auto"/>
    </w:pPr>
    <w:rPr>
      <w:lang w:val="en-US"/>
    </w:rPr>
  </w:style>
  <w:style w:type="paragraph" w:customStyle="1" w:styleId="EndNoteBibliography">
    <w:name w:val="EndNote Bibliography"/>
    <w:basedOn w:val="Normal"/>
    <w:link w:val="EndNoteBibliographyChar"/>
    <w:rsid w:val="00A501A4"/>
    <w:pPr>
      <w:spacing w:after="160"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A501A4"/>
    <w:rPr>
      <w:rFonts w:ascii="Calibri" w:hAnsi="Calibri" w:cs="Calibri"/>
      <w:noProof/>
      <w:lang w:val="en-US"/>
    </w:rPr>
  </w:style>
  <w:style w:type="character" w:styleId="Hyperlink">
    <w:name w:val="Hyperlink"/>
    <w:basedOn w:val="DefaultParagraphFont"/>
    <w:uiPriority w:val="99"/>
    <w:unhideWhenUsed/>
    <w:rsid w:val="008439C3"/>
    <w:rPr>
      <w:color w:val="0000FF"/>
      <w:u w:val="single"/>
    </w:rPr>
  </w:style>
  <w:style w:type="character" w:styleId="Emphasis">
    <w:name w:val="Emphasis"/>
    <w:basedOn w:val="DefaultParagraphFont"/>
    <w:uiPriority w:val="20"/>
    <w:qFormat/>
    <w:rsid w:val="008439C3"/>
    <w:rPr>
      <w:i/>
      <w:iCs/>
    </w:rPr>
  </w:style>
  <w:style w:type="paragraph" w:customStyle="1" w:styleId="Default">
    <w:name w:val="Default"/>
    <w:rsid w:val="008439C3"/>
    <w:pPr>
      <w:autoSpaceDE w:val="0"/>
      <w:autoSpaceDN w:val="0"/>
      <w:adjustRightInd w:val="0"/>
      <w:spacing w:after="0" w:line="240" w:lineRule="auto"/>
    </w:pPr>
    <w:rPr>
      <w:rFonts w:ascii="Arial" w:hAnsi="Arial" w:cs="Arial"/>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image" Target="media/image8.tif"/><Relationship Id="rId3" Type="http://schemas.openxmlformats.org/officeDocument/2006/relationships/settings" Target="settings.xml"/><Relationship Id="rId7" Type="http://schemas.openxmlformats.org/officeDocument/2006/relationships/hyperlink" Target="mailto:manahejih@sbmu.ac.ir" TargetMode="External"/><Relationship Id="rId12" Type="http://schemas.openxmlformats.org/officeDocument/2006/relationships/image" Target="media/image7.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6.tif"/><Relationship Id="rId5" Type="http://schemas.openxmlformats.org/officeDocument/2006/relationships/image" Target="media/image1.jpeg"/><Relationship Id="rId15" Type="http://schemas.openxmlformats.org/officeDocument/2006/relationships/image" Target="media/image10.tiff"/><Relationship Id="rId10" Type="http://schemas.openxmlformats.org/officeDocument/2006/relationships/image" Target="media/image5.tif"/><Relationship Id="rId4" Type="http://schemas.openxmlformats.org/officeDocument/2006/relationships/webSettings" Target="webSettings.xml"/><Relationship Id="rId9" Type="http://schemas.openxmlformats.org/officeDocument/2006/relationships/image" Target="media/image4.tif"/><Relationship Id="rId14"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32</Pages>
  <Words>12981</Words>
  <Characters>73995</Characters>
  <Application>Microsoft Office Word</Application>
  <DocSecurity>0</DocSecurity>
  <Lines>616</Lines>
  <Paragraphs>173</Paragraphs>
  <ScaleCrop>false</ScaleCrop>
  <HeadingPairs>
    <vt:vector size="2" baseType="variant">
      <vt:variant>
        <vt:lpstr>Title</vt:lpstr>
      </vt:variant>
      <vt:variant>
        <vt:i4>1</vt:i4>
      </vt:variant>
    </vt:vector>
  </HeadingPairs>
  <TitlesOfParts>
    <vt:vector size="1" baseType="lpstr">
      <vt:lpstr/>
    </vt:vector>
  </TitlesOfParts>
  <Company>RCUK SSC Ltd</Company>
  <LinksUpToDate>false</LinksUpToDate>
  <CharactersWithSpaces>86803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Stokes</dc:creator>
  <cp:lastModifiedBy>Homa</cp:lastModifiedBy>
  <cp:revision>16</cp:revision>
  <cp:lastPrinted>2014-08-21T11:13:00Z</cp:lastPrinted>
  <dcterms:created xsi:type="dcterms:W3CDTF">2020-02-11T00:09:00Z</dcterms:created>
  <dcterms:modified xsi:type="dcterms:W3CDTF">2020-02-12T12:44:00Z</dcterms:modified>
</cp:coreProperties>
</file>